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1E8A1096" w14:textId="66EF8D8C" w:rsidR="00994D22" w:rsidRDefault="00D40695" w:rsidP="0FB05382">
            <w:pPr>
              <w:rPr>
                <w:rFonts w:ascii="Times New Roman" w:hAnsi="Times New Roman" w:cs="Times New Roman"/>
                <w:sz w:val="20"/>
                <w:szCs w:val="20"/>
              </w:rPr>
            </w:pPr>
            <w:r>
              <w:rPr>
                <w:rFonts w:ascii="Times New Roman" w:hAnsi="Times New Roman" w:cs="Times New Roman"/>
                <w:sz w:val="20"/>
                <w:szCs w:val="20"/>
              </w:rPr>
              <w:t>-</w:t>
            </w:r>
            <w:r w:rsidR="00893C90">
              <w:t xml:space="preserve"> </w:t>
            </w:r>
            <w:r w:rsidR="00893C90" w:rsidRPr="00893C90">
              <w:rPr>
                <w:rFonts w:ascii="Times New Roman" w:hAnsi="Times New Roman" w:cs="Times New Roman"/>
                <w:sz w:val="20"/>
                <w:szCs w:val="20"/>
              </w:rPr>
              <w:t>One clinical instance involved treating an infant with RSV who was 8 months old. It made an impression on me because it demonstrated the harm that RSV, or any respiratory infection for that matter, can inflict to kids.</w:t>
            </w:r>
          </w:p>
          <w:p w14:paraId="52907FA5" w14:textId="1CC015C0" w:rsidR="00D40695" w:rsidRDefault="00D40695" w:rsidP="0FB05382">
            <w:pPr>
              <w:rPr>
                <w:rFonts w:ascii="Times New Roman" w:hAnsi="Times New Roman" w:cs="Times New Roman"/>
                <w:sz w:val="20"/>
                <w:szCs w:val="20"/>
              </w:rPr>
            </w:pPr>
            <w:r>
              <w:rPr>
                <w:rFonts w:ascii="Times New Roman" w:hAnsi="Times New Roman" w:cs="Times New Roman"/>
                <w:sz w:val="20"/>
                <w:szCs w:val="20"/>
              </w:rPr>
              <w:t>-</w:t>
            </w:r>
            <w:r w:rsidR="00893C90" w:rsidRPr="00893C90">
              <w:rPr>
                <w:rFonts w:ascii="Times New Roman" w:hAnsi="Times New Roman" w:cs="Times New Roman"/>
                <w:sz w:val="20"/>
                <w:szCs w:val="20"/>
              </w:rPr>
              <w:t>Due to the respiratory infection, the 8-month-old baby who was admitted with RSV was experiencing severe respiratory distress.</w:t>
            </w:r>
          </w:p>
          <w:p w14:paraId="3800AEBE" w14:textId="4B86F3DE" w:rsidR="00D40695" w:rsidRPr="007422BF" w:rsidRDefault="00D40695" w:rsidP="0FB05382">
            <w:pPr>
              <w:rPr>
                <w:rFonts w:ascii="Times New Roman" w:hAnsi="Times New Roman" w:cs="Times New Roman"/>
                <w:sz w:val="20"/>
                <w:szCs w:val="20"/>
              </w:rPr>
            </w:pPr>
            <w:r>
              <w:rPr>
                <w:rFonts w:ascii="Times New Roman" w:hAnsi="Times New Roman" w:cs="Times New Roman"/>
                <w:sz w:val="20"/>
                <w:szCs w:val="20"/>
              </w:rPr>
              <w:t>-</w:t>
            </w:r>
            <w:r w:rsidR="003844A0">
              <w:t xml:space="preserve"> </w:t>
            </w:r>
            <w:r w:rsidR="003844A0" w:rsidRPr="003844A0">
              <w:rPr>
                <w:rFonts w:ascii="Times New Roman" w:hAnsi="Times New Roman" w:cs="Times New Roman"/>
                <w:sz w:val="20"/>
                <w:szCs w:val="20"/>
              </w:rPr>
              <w:t>Sincere to the best of my ability, I observed how the collaborative team handled the child's care plan. More people need to be on the same page and attempt to put the patient's needs above their own sentiments, in my opinion. The actions conducted, in my opinion, were acceptable, but I believe that more intense care measures had to have been implemented.</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FBEF910" w14:textId="77777777" w:rsidR="003844A0" w:rsidRDefault="00D40695">
            <w:pPr>
              <w:rPr>
                <w:rFonts w:ascii="Times New Roman" w:hAnsi="Times New Roman" w:cs="Times New Roman"/>
                <w:sz w:val="20"/>
                <w:szCs w:val="20"/>
              </w:rPr>
            </w:pPr>
            <w:r>
              <w:rPr>
                <w:rFonts w:ascii="Times New Roman" w:hAnsi="Times New Roman" w:cs="Times New Roman"/>
                <w:sz w:val="20"/>
                <w:szCs w:val="20"/>
              </w:rPr>
              <w:t>-</w:t>
            </w:r>
            <w:r w:rsidR="003844A0">
              <w:t xml:space="preserve"> </w:t>
            </w:r>
            <w:r w:rsidR="003844A0" w:rsidRPr="003844A0">
              <w:rPr>
                <w:rFonts w:ascii="Times New Roman" w:hAnsi="Times New Roman" w:cs="Times New Roman"/>
                <w:sz w:val="20"/>
                <w:szCs w:val="20"/>
              </w:rPr>
              <w:t>The academic article I selected discusses PCR testing for RSV in emergency rooms and how it affects clinical patient treatment.</w:t>
            </w:r>
          </w:p>
          <w:p w14:paraId="5224332F" w14:textId="7DC901ED" w:rsidR="00D40695" w:rsidRDefault="00D40695">
            <w:pPr>
              <w:rPr>
                <w:rFonts w:ascii="Times New Roman" w:hAnsi="Times New Roman" w:cs="Times New Roman"/>
                <w:sz w:val="20"/>
                <w:szCs w:val="20"/>
              </w:rPr>
            </w:pPr>
            <w:r>
              <w:rPr>
                <w:rFonts w:ascii="Times New Roman" w:hAnsi="Times New Roman" w:cs="Times New Roman"/>
                <w:sz w:val="20"/>
                <w:szCs w:val="20"/>
              </w:rPr>
              <w:t>-</w:t>
            </w:r>
            <w:r w:rsidR="003844A0">
              <w:t xml:space="preserve"> </w:t>
            </w:r>
            <w:r w:rsidR="003844A0" w:rsidRPr="003844A0">
              <w:rPr>
                <w:rFonts w:ascii="Times New Roman" w:hAnsi="Times New Roman" w:cs="Times New Roman"/>
                <w:sz w:val="20"/>
                <w:szCs w:val="20"/>
              </w:rPr>
              <w:t>According to this study, the PCR test for RSV in emergency departments had a 100% accuracy rate when testing patients, which aided with isolation management, shielding patients from the virus, and providing quicker results within 30 minutes.</w:t>
            </w:r>
          </w:p>
          <w:p w14:paraId="5CEE1981" w14:textId="69F20CF0" w:rsidR="00780B5D" w:rsidRPr="007422BF" w:rsidRDefault="00780B5D">
            <w:pPr>
              <w:rPr>
                <w:rFonts w:ascii="Times New Roman" w:hAnsi="Times New Roman" w:cs="Times New Roman"/>
                <w:sz w:val="20"/>
                <w:szCs w:val="20"/>
              </w:rPr>
            </w:pPr>
            <w:r>
              <w:rPr>
                <w:rFonts w:ascii="Times New Roman" w:hAnsi="Times New Roman" w:cs="Times New Roman"/>
                <w:sz w:val="20"/>
                <w:szCs w:val="20"/>
              </w:rPr>
              <w:t>-</w:t>
            </w:r>
            <w:r w:rsidR="003844A0">
              <w:t xml:space="preserve"> </w:t>
            </w:r>
            <w:r w:rsidR="003844A0" w:rsidRPr="003844A0">
              <w:rPr>
                <w:rFonts w:ascii="Times New Roman" w:hAnsi="Times New Roman" w:cs="Times New Roman"/>
                <w:sz w:val="20"/>
                <w:szCs w:val="20"/>
              </w:rPr>
              <w:t>Even though this article isn't specifically about my situation, I believe that hospitals should use this general primary care model when caring for children who have RSV. This might stop the disease from spreading and could perhaps keep the children from going to the hospital. I believe that the rapid results also make it possible to swiftly implement an isolation status and begin treating the virus before serious consequences like the ones I experienced do. The child I was caring for might have received this as a preventative measure before she experienced respiratory distress.</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proofErr w:type="gramStart"/>
            <w:r w:rsidR="202A41FE" w:rsidRPr="710F5BCD">
              <w:rPr>
                <w:rFonts w:ascii="Times New Roman" w:hAnsi="Times New Roman" w:cs="Times New Roman"/>
                <w:sz w:val="20"/>
                <w:szCs w:val="20"/>
              </w:rPr>
              <w:t>e.g.</w:t>
            </w:r>
            <w:proofErr w:type="gramEnd"/>
            <w:r w:rsidR="202A41FE" w:rsidRPr="710F5BCD">
              <w:rPr>
                <w:rFonts w:ascii="Times New Roman" w:hAnsi="Times New Roman" w:cs="Times New Roman"/>
                <w:sz w:val="20"/>
                <w:szCs w:val="20"/>
              </w:rPr>
              <w:t xml:space="preserve">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w:t>
            </w:r>
            <w:proofErr w:type="gramStart"/>
            <w:r w:rsidR="09F2498C" w:rsidRPr="191C1DDF">
              <w:rPr>
                <w:rFonts w:ascii="Times New Roman" w:hAnsi="Times New Roman" w:cs="Times New Roman"/>
                <w:sz w:val="20"/>
                <w:szCs w:val="20"/>
              </w:rPr>
              <w:t>e.g.</w:t>
            </w:r>
            <w:proofErr w:type="gramEnd"/>
            <w:r w:rsidR="09F2498C" w:rsidRPr="191C1DDF">
              <w:rPr>
                <w:rFonts w:ascii="Times New Roman" w:hAnsi="Times New Roman" w:cs="Times New Roman"/>
                <w:sz w:val="20"/>
                <w:szCs w:val="20"/>
              </w:rPr>
              <w:t xml:space="preserve">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Only one other perspective is </w:t>
            </w:r>
            <w:proofErr w:type="gramStart"/>
            <w:r w:rsidRPr="191C1DDF">
              <w:rPr>
                <w:rFonts w:ascii="Times New Roman" w:hAnsi="Times New Roman" w:cs="Times New Roman"/>
                <w:sz w:val="20"/>
                <w:szCs w:val="20"/>
                <w:lang w:val="en-US"/>
              </w:rPr>
              <w:t>discussed</w:t>
            </w:r>
            <w:proofErr w:type="gramEnd"/>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4E8A0C21" w14:textId="4EE11E55" w:rsidR="006E4028" w:rsidRDefault="006E4028" w:rsidP="0FB05382">
            <w:pPr>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w:t>
            </w:r>
            <w:r w:rsidR="003844A0">
              <w:t xml:space="preserve"> </w:t>
            </w:r>
            <w:r w:rsidR="003844A0" w:rsidRPr="003844A0">
              <w:rPr>
                <w:rFonts w:ascii="Times New Roman" w:hAnsi="Times New Roman" w:cs="Times New Roman"/>
                <w:color w:val="C00000"/>
                <w:sz w:val="20"/>
                <w:szCs w:val="20"/>
              </w:rPr>
              <w:t xml:space="preserve">When a mother brings in a sick child and tries to treat it, but at first nothing seems to be working, it may be difficult for the mother. It may also be </w:t>
            </w:r>
            <w:r w:rsidR="003844A0" w:rsidRPr="003844A0">
              <w:rPr>
                <w:rFonts w:ascii="Times New Roman" w:hAnsi="Times New Roman" w:cs="Times New Roman"/>
                <w:color w:val="C00000"/>
                <w:sz w:val="20"/>
                <w:szCs w:val="20"/>
              </w:rPr>
              <w:lastRenderedPageBreak/>
              <w:t>frustrating for the mother to have to wait so long for results when her child is in respiratory distress.</w:t>
            </w:r>
          </w:p>
          <w:p w14:paraId="4B8B73B1" w14:textId="5E56211D" w:rsidR="006E4028" w:rsidRDefault="006E4028" w:rsidP="0FB05382">
            <w:pPr>
              <w:rPr>
                <w:rFonts w:ascii="Times New Roman" w:hAnsi="Times New Roman" w:cs="Times New Roman"/>
                <w:color w:val="C00000"/>
                <w:sz w:val="20"/>
                <w:szCs w:val="20"/>
              </w:rPr>
            </w:pPr>
            <w:r>
              <w:rPr>
                <w:rFonts w:ascii="Times New Roman" w:hAnsi="Times New Roman" w:cs="Times New Roman"/>
                <w:color w:val="C00000"/>
                <w:sz w:val="20"/>
                <w:szCs w:val="20"/>
              </w:rPr>
              <w:t>-</w:t>
            </w:r>
            <w:r w:rsidR="003844A0">
              <w:t xml:space="preserve"> </w:t>
            </w:r>
            <w:r w:rsidR="003844A0" w:rsidRPr="003844A0">
              <w:rPr>
                <w:rFonts w:ascii="Times New Roman" w:hAnsi="Times New Roman" w:cs="Times New Roman"/>
                <w:color w:val="C00000"/>
                <w:sz w:val="20"/>
                <w:szCs w:val="20"/>
              </w:rPr>
              <w:t>I think it quite unethical for the care team to be unable to agree on how to treat the child in this situation, especially given that the youngster is experiencing these issues. A decision should have been made about immediate action. Teamwork is vitally essential when working in a healthcare environment, especially in this case.</w:t>
            </w:r>
          </w:p>
          <w:p w14:paraId="2FB4C748" w14:textId="1DAFCF02" w:rsidR="00EC3467" w:rsidRDefault="00EC3467" w:rsidP="0FB05382">
            <w:pPr>
              <w:rPr>
                <w:rFonts w:ascii="Times New Roman" w:hAnsi="Times New Roman" w:cs="Times New Roman"/>
                <w:color w:val="C00000"/>
                <w:sz w:val="20"/>
                <w:szCs w:val="20"/>
              </w:rPr>
            </w:pPr>
            <w:r>
              <w:rPr>
                <w:rFonts w:ascii="Times New Roman" w:hAnsi="Times New Roman" w:cs="Times New Roman"/>
                <w:color w:val="C00000"/>
                <w:sz w:val="20"/>
                <w:szCs w:val="20"/>
              </w:rPr>
              <w:t>-</w:t>
            </w:r>
            <w:r w:rsidR="003844A0">
              <w:t xml:space="preserve"> </w:t>
            </w:r>
            <w:r w:rsidR="003844A0" w:rsidRPr="003844A0">
              <w:rPr>
                <w:rFonts w:ascii="Times New Roman" w:hAnsi="Times New Roman" w:cs="Times New Roman"/>
                <w:color w:val="C00000"/>
                <w:sz w:val="20"/>
                <w:szCs w:val="20"/>
              </w:rPr>
              <w:t>Professionalism and collaboration in nursing would be perspectives around this occurrence. Nursing is a team effort, thus treating patients as such requires the participation of the entire medical staff. People in this industry must set aside their egos and put the patient's needs before their own. This occurs far too frequently, and I believe certain nurses should place a higher priority on patient care than fraternization. I believe this may also be related to the nursing culture on that floor and the way some nurses interact with each other and other healthcare professionals.</w:t>
            </w:r>
          </w:p>
          <w:p w14:paraId="1EC24FB3" w14:textId="77777777" w:rsidR="003844A0" w:rsidRDefault="00EC3467" w:rsidP="0FB05382">
            <w:pPr>
              <w:rPr>
                <w:rFonts w:ascii="Times New Roman" w:hAnsi="Times New Roman" w:cs="Times New Roman"/>
                <w:color w:val="C00000"/>
                <w:sz w:val="20"/>
                <w:szCs w:val="20"/>
              </w:rPr>
            </w:pPr>
            <w:r>
              <w:rPr>
                <w:rFonts w:ascii="Times New Roman" w:hAnsi="Times New Roman" w:cs="Times New Roman"/>
                <w:color w:val="C00000"/>
                <w:sz w:val="20"/>
                <w:szCs w:val="20"/>
              </w:rPr>
              <w:t>-</w:t>
            </w:r>
            <w:r w:rsidR="003844A0">
              <w:t xml:space="preserve"> </w:t>
            </w:r>
            <w:r w:rsidR="003844A0" w:rsidRPr="003844A0">
              <w:rPr>
                <w:rFonts w:ascii="Times New Roman" w:hAnsi="Times New Roman" w:cs="Times New Roman"/>
                <w:color w:val="C00000"/>
                <w:sz w:val="20"/>
                <w:szCs w:val="20"/>
              </w:rPr>
              <w:t>This challenges my own perspective since I strive to put the patient first and I think that as a nurse you can learn from those around you while also adding your own perspective and knowledge to what should be a homogenized blend of knowledge rather than push and pull.</w:t>
            </w:r>
          </w:p>
          <w:p w14:paraId="47F2EE4C" w14:textId="32DE5937" w:rsidR="00EC3467" w:rsidRDefault="00EC3467" w:rsidP="0FB05382">
            <w:pPr>
              <w:rPr>
                <w:rFonts w:ascii="Times New Roman" w:hAnsi="Times New Roman" w:cs="Times New Roman"/>
                <w:color w:val="C00000"/>
                <w:sz w:val="20"/>
                <w:szCs w:val="20"/>
              </w:rPr>
            </w:pPr>
            <w:r>
              <w:rPr>
                <w:rFonts w:ascii="Times New Roman" w:hAnsi="Times New Roman" w:cs="Times New Roman"/>
                <w:color w:val="C00000"/>
                <w:sz w:val="20"/>
                <w:szCs w:val="20"/>
              </w:rPr>
              <w:t>-</w:t>
            </w:r>
            <w:r w:rsidR="003844A0">
              <w:t xml:space="preserve"> </w:t>
            </w:r>
            <w:r w:rsidR="003844A0" w:rsidRPr="003844A0">
              <w:rPr>
                <w:rFonts w:ascii="Times New Roman" w:hAnsi="Times New Roman" w:cs="Times New Roman"/>
                <w:color w:val="C00000"/>
                <w:sz w:val="20"/>
                <w:szCs w:val="20"/>
              </w:rPr>
              <w:t>What factors influence nursing cultures on various floors?</w:t>
            </w:r>
          </w:p>
          <w:p w14:paraId="383BCC52" w14:textId="77777777" w:rsidR="003844A0" w:rsidRDefault="00EC3467" w:rsidP="0FB05382">
            <w:pPr>
              <w:rPr>
                <w:rFonts w:ascii="Times New Roman" w:hAnsi="Times New Roman" w:cs="Times New Roman"/>
                <w:color w:val="C00000"/>
                <w:sz w:val="20"/>
                <w:szCs w:val="20"/>
              </w:rPr>
            </w:pPr>
            <w:r>
              <w:rPr>
                <w:rFonts w:ascii="Times New Roman" w:hAnsi="Times New Roman" w:cs="Times New Roman"/>
                <w:color w:val="C00000"/>
                <w:sz w:val="20"/>
                <w:szCs w:val="20"/>
              </w:rPr>
              <w:t>-</w:t>
            </w:r>
            <w:r w:rsidR="003844A0">
              <w:t xml:space="preserve"> </w:t>
            </w:r>
            <w:r w:rsidR="003844A0" w:rsidRPr="003844A0">
              <w:rPr>
                <w:rFonts w:ascii="Times New Roman" w:hAnsi="Times New Roman" w:cs="Times New Roman"/>
                <w:color w:val="C00000"/>
                <w:sz w:val="20"/>
                <w:szCs w:val="20"/>
              </w:rPr>
              <w:t>Why do experienced nurses lose motivation?</w:t>
            </w:r>
          </w:p>
          <w:p w14:paraId="71846170" w14:textId="76EAA448" w:rsidR="00EC3467" w:rsidRPr="007422BF" w:rsidRDefault="00EC3467" w:rsidP="0FB05382">
            <w:pPr>
              <w:rPr>
                <w:rFonts w:ascii="Times New Roman" w:hAnsi="Times New Roman" w:cs="Times New Roman"/>
                <w:color w:val="C00000"/>
                <w:sz w:val="20"/>
                <w:szCs w:val="20"/>
              </w:rPr>
            </w:pPr>
            <w:r>
              <w:rPr>
                <w:rFonts w:ascii="Times New Roman" w:hAnsi="Times New Roman" w:cs="Times New Roman"/>
                <w:color w:val="C00000"/>
                <w:sz w:val="20"/>
                <w:szCs w:val="20"/>
              </w:rPr>
              <w:t>-</w:t>
            </w:r>
            <w:r w:rsidR="003844A0">
              <w:t xml:space="preserve"> </w:t>
            </w:r>
            <w:r w:rsidR="003844A0" w:rsidRPr="003844A0">
              <w:rPr>
                <w:rFonts w:ascii="Times New Roman" w:hAnsi="Times New Roman" w:cs="Times New Roman"/>
                <w:color w:val="C00000"/>
                <w:sz w:val="20"/>
                <w:szCs w:val="20"/>
              </w:rPr>
              <w:t>How can we prevent burnout in nurses?</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Summary not </w:t>
            </w:r>
            <w:proofErr w:type="gramStart"/>
            <w:r w:rsidRPr="191C1DDF">
              <w:rPr>
                <w:rFonts w:ascii="Times New Roman" w:hAnsi="Times New Roman" w:cs="Times New Roman"/>
                <w:sz w:val="20"/>
                <w:szCs w:val="20"/>
              </w:rPr>
              <w:t>provided</w:t>
            </w:r>
            <w:proofErr w:type="gramEnd"/>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415FA68" w14:textId="77777777" w:rsidR="00560274" w:rsidRDefault="009E61B8">
            <w:pPr>
              <w:rPr>
                <w:rFonts w:ascii="Times New Roman" w:hAnsi="Times New Roman" w:cs="Times New Roman"/>
                <w:sz w:val="20"/>
                <w:szCs w:val="20"/>
              </w:rPr>
            </w:pPr>
            <w:r>
              <w:rPr>
                <w:rFonts w:ascii="Times New Roman" w:hAnsi="Times New Roman" w:cs="Times New Roman"/>
                <w:sz w:val="20"/>
                <w:szCs w:val="20"/>
              </w:rPr>
              <w:t>-</w:t>
            </w:r>
            <w:r w:rsidR="00560274">
              <w:t xml:space="preserve"> </w:t>
            </w:r>
            <w:r w:rsidR="00560274" w:rsidRPr="00560274">
              <w:rPr>
                <w:rFonts w:ascii="Times New Roman" w:hAnsi="Times New Roman" w:cs="Times New Roman"/>
                <w:sz w:val="20"/>
                <w:szCs w:val="20"/>
              </w:rPr>
              <w:t xml:space="preserve">I've learned from this clinical experience to prioritize the patient and collaborate with the other members of your team. Additionally, I now know that RSV can be treated as a preventative measure before it progresses to more serious phases of the sickness. Additionally, if discovered early on, antiviral medication may be used. </w:t>
            </w:r>
          </w:p>
          <w:p w14:paraId="36C69505" w14:textId="0D5E7D8F" w:rsidR="004A27E0" w:rsidRPr="007422BF" w:rsidRDefault="004A27E0">
            <w:pPr>
              <w:rPr>
                <w:rFonts w:ascii="Times New Roman" w:hAnsi="Times New Roman" w:cs="Times New Roman"/>
                <w:sz w:val="20"/>
                <w:szCs w:val="20"/>
              </w:rPr>
            </w:pPr>
            <w:r>
              <w:rPr>
                <w:rFonts w:ascii="Times New Roman" w:hAnsi="Times New Roman" w:cs="Times New Roman"/>
                <w:sz w:val="20"/>
                <w:szCs w:val="20"/>
              </w:rPr>
              <w:t>-</w:t>
            </w:r>
            <w:r w:rsidR="00560274">
              <w:t xml:space="preserve"> </w:t>
            </w:r>
            <w:r w:rsidR="00560274" w:rsidRPr="00560274">
              <w:rPr>
                <w:rFonts w:ascii="Times New Roman" w:hAnsi="Times New Roman" w:cs="Times New Roman"/>
                <w:sz w:val="20"/>
                <w:szCs w:val="20"/>
              </w:rPr>
              <w:t>I could have handled this scenario better if I had been more proactive and asked the nurse if there was anything I could do to assist her relax.</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w:t>
            </w:r>
            <w:proofErr w:type="gramStart"/>
            <w:r w:rsidR="000D752F" w:rsidRPr="191C1DDF">
              <w:rPr>
                <w:rFonts w:ascii="Times New Roman" w:hAnsi="Times New Roman" w:cs="Times New Roman"/>
                <w:sz w:val="20"/>
                <w:szCs w:val="20"/>
              </w:rPr>
              <w:t>e.g.</w:t>
            </w:r>
            <w:proofErr w:type="gramEnd"/>
            <w:r w:rsidR="000D752F" w:rsidRPr="191C1DDF">
              <w:rPr>
                <w:rFonts w:ascii="Times New Roman" w:hAnsi="Times New Roman" w:cs="Times New Roman"/>
                <w:sz w:val="20"/>
                <w:szCs w:val="20"/>
              </w:rPr>
              <w:t xml:space="preserve">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0009CD2" w14:textId="307D2534" w:rsidR="00994D22" w:rsidRDefault="00DF4A97">
            <w:pPr>
              <w:rPr>
                <w:rFonts w:ascii="Times New Roman" w:hAnsi="Times New Roman" w:cs="Times New Roman"/>
                <w:sz w:val="20"/>
                <w:szCs w:val="20"/>
              </w:rPr>
            </w:pPr>
            <w:r>
              <w:rPr>
                <w:rFonts w:ascii="Times New Roman" w:hAnsi="Times New Roman" w:cs="Times New Roman"/>
                <w:sz w:val="20"/>
                <w:szCs w:val="20"/>
              </w:rPr>
              <w:lastRenderedPageBreak/>
              <w:t>-</w:t>
            </w:r>
            <w:r w:rsidR="00560274">
              <w:t xml:space="preserve"> </w:t>
            </w:r>
            <w:r w:rsidR="00560274" w:rsidRPr="00560274">
              <w:rPr>
                <w:rFonts w:ascii="Times New Roman" w:hAnsi="Times New Roman" w:cs="Times New Roman"/>
                <w:sz w:val="20"/>
                <w:szCs w:val="20"/>
              </w:rPr>
              <w:t>Knowing this new information, I want to keep it in mind as I continue my nursing profession, bearing in mind that experienced nurses may become burned out and exhibit certain unfavorable reactions to circumstances. I want to try to remember this, keep my head on straight, stay focused, and make time for my mental health so that I can go to work in a positive frame of mind.</w:t>
            </w:r>
          </w:p>
          <w:p w14:paraId="4A99969E" w14:textId="5AB0DED1" w:rsidR="00DF4A97" w:rsidRPr="007422BF" w:rsidRDefault="00DF4A97">
            <w:pPr>
              <w:rPr>
                <w:rFonts w:ascii="Times New Roman" w:hAnsi="Times New Roman" w:cs="Times New Roman"/>
                <w:sz w:val="20"/>
                <w:szCs w:val="20"/>
              </w:rPr>
            </w:pPr>
            <w:r>
              <w:rPr>
                <w:rFonts w:ascii="Times New Roman" w:hAnsi="Times New Roman" w:cs="Times New Roman"/>
                <w:sz w:val="20"/>
                <w:szCs w:val="20"/>
              </w:rPr>
              <w:t>-</w:t>
            </w:r>
            <w:r w:rsidR="00560274">
              <w:t xml:space="preserve"> </w:t>
            </w:r>
            <w:r w:rsidR="00560274" w:rsidRPr="00560274">
              <w:rPr>
                <w:rFonts w:ascii="Times New Roman" w:hAnsi="Times New Roman" w:cs="Times New Roman"/>
                <w:sz w:val="20"/>
                <w:szCs w:val="20"/>
              </w:rPr>
              <w:t>Perhaps talking to a psychiatrist about keeping my emotions in check might be a nursing resource that would help me go ahead. attempting to contact hotlines, doctors, apps, books, and other mental health resources.</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7F920B86" w14:textId="7043F41C" w:rsidR="00D45B8C" w:rsidRPr="007422BF" w:rsidRDefault="00893C90">
            <w:pPr>
              <w:rPr>
                <w:rFonts w:ascii="Times New Roman" w:hAnsi="Times New Roman" w:cs="Times New Roman"/>
                <w:sz w:val="20"/>
                <w:szCs w:val="20"/>
              </w:rPr>
            </w:pPr>
            <w:r>
              <w:rPr>
                <w:rFonts w:ascii="Times New Roman" w:hAnsi="Times New Roman" w:cs="Times New Roman"/>
                <w:sz w:val="20"/>
                <w:szCs w:val="20"/>
              </w:rPr>
              <w:t>-</w:t>
            </w:r>
            <w:r w:rsidR="00560274">
              <w:t xml:space="preserve"> </w:t>
            </w:r>
            <w:r w:rsidR="00560274" w:rsidRPr="00560274">
              <w:rPr>
                <w:rFonts w:ascii="Times New Roman" w:hAnsi="Times New Roman" w:cs="Times New Roman"/>
                <w:sz w:val="20"/>
                <w:szCs w:val="20"/>
              </w:rPr>
              <w:t>Since it involves a greater ethical and communicational conundrum as well as a mental health concern, I believe this is a third-year learning skill. I believe that nursing burnout is under-discussed in real life, and that organizations and companies don't provide their employees with enough time off or resources to recover from the stress of their work.</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DC96444" w14:textId="77777777" w:rsidR="00CF6D4E" w:rsidRDefault="00CF6D4E" w:rsidP="00CF6D4E">
            <w:pPr>
              <w:rPr>
                <w:rFonts w:ascii="Times New Roman" w:hAnsi="Times New Roman" w:cs="Times New Roman"/>
                <w:b/>
                <w:bCs/>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2D31BDAF" w14:textId="77777777" w:rsidR="003C49F4" w:rsidRDefault="003C49F4" w:rsidP="003C49F4">
            <w:pPr>
              <w:rPr>
                <w:rFonts w:ascii="Times New Roman" w:hAnsi="Times New Roman" w:cs="Times New Roman"/>
                <w:b/>
                <w:bCs/>
                <w:sz w:val="20"/>
                <w:szCs w:val="20"/>
              </w:rPr>
            </w:pPr>
          </w:p>
          <w:p w14:paraId="386D953E" w14:textId="16C16420" w:rsidR="00DD55FE" w:rsidRDefault="003C49F4" w:rsidP="00DD55FE">
            <w:pPr>
              <w:pStyle w:val="NormalWeb"/>
              <w:ind w:left="567" w:hanging="567"/>
            </w:pPr>
            <w:r>
              <w:rPr>
                <w:sz w:val="20"/>
                <w:szCs w:val="20"/>
              </w:rPr>
              <w:t>-</w:t>
            </w:r>
            <w:r w:rsidR="00DD55FE">
              <w:t xml:space="preserve"> </w:t>
            </w:r>
            <w:r w:rsidR="00DD55FE">
              <w:t xml:space="preserve">Yin </w:t>
            </w:r>
            <w:proofErr w:type="spellStart"/>
            <w:proofErr w:type="gramStart"/>
            <w:r w:rsidR="00DD55FE">
              <w:t>N;Van</w:t>
            </w:r>
            <w:proofErr w:type="spellEnd"/>
            <w:proofErr w:type="gramEnd"/>
            <w:r w:rsidR="00DD55FE">
              <w:t xml:space="preserve"> Nuffelen </w:t>
            </w:r>
            <w:proofErr w:type="spellStart"/>
            <w:r w:rsidR="00DD55FE">
              <w:t>M;Bartiaux</w:t>
            </w:r>
            <w:proofErr w:type="spellEnd"/>
            <w:r w:rsidR="00DD55FE">
              <w:t xml:space="preserve"> </w:t>
            </w:r>
            <w:proofErr w:type="spellStart"/>
            <w:r w:rsidR="00DD55FE">
              <w:t>M;Préseau</w:t>
            </w:r>
            <w:proofErr w:type="spellEnd"/>
            <w:r w:rsidR="00DD55FE">
              <w:t xml:space="preserve"> </w:t>
            </w:r>
            <w:proofErr w:type="spellStart"/>
            <w:r w:rsidR="00DD55FE">
              <w:t>T;Roggen</w:t>
            </w:r>
            <w:proofErr w:type="spellEnd"/>
            <w:r w:rsidR="00DD55FE">
              <w:t xml:space="preserve"> </w:t>
            </w:r>
            <w:proofErr w:type="spellStart"/>
            <w:r w:rsidR="00DD55FE">
              <w:t>I;Delaunoy</w:t>
            </w:r>
            <w:proofErr w:type="spellEnd"/>
            <w:r w:rsidR="00DD55FE">
              <w:t xml:space="preserve"> </w:t>
            </w:r>
            <w:proofErr w:type="spellStart"/>
            <w:r w:rsidR="00DD55FE">
              <w:t>S;Mahadeb</w:t>
            </w:r>
            <w:proofErr w:type="spellEnd"/>
            <w:r w:rsidR="00DD55FE">
              <w:t xml:space="preserve"> </w:t>
            </w:r>
            <w:proofErr w:type="spellStart"/>
            <w:r w:rsidR="00DD55FE">
              <w:t>B;Dahma</w:t>
            </w:r>
            <w:proofErr w:type="spellEnd"/>
            <w:r w:rsidR="00DD55FE">
              <w:t xml:space="preserve"> </w:t>
            </w:r>
            <w:proofErr w:type="spellStart"/>
            <w:r w:rsidR="00DD55FE">
              <w:t>H;Busson</w:t>
            </w:r>
            <w:proofErr w:type="spellEnd"/>
            <w:r w:rsidR="00DD55FE">
              <w:t xml:space="preserve"> </w:t>
            </w:r>
            <w:proofErr w:type="spellStart"/>
            <w:r w:rsidR="00DD55FE">
              <w:t>L;Vandenberg</w:t>
            </w:r>
            <w:proofErr w:type="spellEnd"/>
            <w:r w:rsidR="00DD55FE">
              <w:t xml:space="preserve"> </w:t>
            </w:r>
            <w:proofErr w:type="spellStart"/>
            <w:r w:rsidR="00DD55FE">
              <w:t>O;Hallin</w:t>
            </w:r>
            <w:proofErr w:type="spellEnd"/>
            <w:r w:rsidR="00DD55FE">
              <w:t xml:space="preserve"> M; (n.d.). </w:t>
            </w:r>
            <w:r w:rsidR="00DD55FE">
              <w:rPr>
                <w:i/>
                <w:iCs/>
              </w:rPr>
              <w:t>Clinical impact of the rapid molecular detection of RSV and influenza A and B viruses in the emergency department</w:t>
            </w:r>
            <w:r w:rsidR="00DD55FE">
              <w:t xml:space="preserve">. </w:t>
            </w:r>
            <w:proofErr w:type="spellStart"/>
            <w:r w:rsidR="00DD55FE">
              <w:t>PloS</w:t>
            </w:r>
            <w:proofErr w:type="spellEnd"/>
            <w:r w:rsidR="00DD55FE">
              <w:t xml:space="preserve"> one. https://pubmed.ncbi.nlm.nih.gov/36054246/ </w:t>
            </w:r>
          </w:p>
          <w:p w14:paraId="05B62EFD" w14:textId="5F033E9E" w:rsidR="003C49F4" w:rsidRPr="003C49F4" w:rsidRDefault="003C49F4" w:rsidP="003C49F4">
            <w:pPr>
              <w:rPr>
                <w:rFonts w:ascii="Times New Roman" w:hAnsi="Times New Roman" w:cs="Times New Roman"/>
                <w:sz w:val="20"/>
                <w:szCs w:val="20"/>
              </w:rPr>
            </w:pP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1C7B" w14:textId="77777777" w:rsidR="00D02851" w:rsidRDefault="00D02851" w:rsidP="00D255D8">
      <w:pPr>
        <w:spacing w:after="0" w:line="240" w:lineRule="auto"/>
      </w:pPr>
      <w:r>
        <w:separator/>
      </w:r>
    </w:p>
  </w:endnote>
  <w:endnote w:type="continuationSeparator" w:id="0">
    <w:p w14:paraId="6075237B" w14:textId="77777777" w:rsidR="00D02851" w:rsidRDefault="00D02851" w:rsidP="00D255D8">
      <w:pPr>
        <w:spacing w:after="0" w:line="240" w:lineRule="auto"/>
      </w:pPr>
      <w:r>
        <w:continuationSeparator/>
      </w:r>
    </w:p>
  </w:endnote>
  <w:endnote w:type="continuationNotice" w:id="1">
    <w:p w14:paraId="6DA18D7D" w14:textId="77777777" w:rsidR="00D02851" w:rsidRDefault="00D02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Deshaies,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0747" w14:textId="77777777" w:rsidR="00D02851" w:rsidRDefault="00D02851" w:rsidP="00D255D8">
      <w:pPr>
        <w:spacing w:after="0" w:line="240" w:lineRule="auto"/>
      </w:pPr>
      <w:r>
        <w:separator/>
      </w:r>
    </w:p>
  </w:footnote>
  <w:footnote w:type="continuationSeparator" w:id="0">
    <w:p w14:paraId="4E421B7B" w14:textId="77777777" w:rsidR="00D02851" w:rsidRDefault="00D02851" w:rsidP="00D255D8">
      <w:pPr>
        <w:spacing w:after="0" w:line="240" w:lineRule="auto"/>
      </w:pPr>
      <w:r>
        <w:continuationSeparator/>
      </w:r>
    </w:p>
  </w:footnote>
  <w:footnote w:type="continuationNotice" w:id="1">
    <w:p w14:paraId="7DDC2EAB" w14:textId="77777777" w:rsidR="00D02851" w:rsidRDefault="00D02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815222287">
    <w:abstractNumId w:val="10"/>
  </w:num>
  <w:num w:numId="2" w16cid:durableId="13388290">
    <w:abstractNumId w:val="0"/>
  </w:num>
  <w:num w:numId="3" w16cid:durableId="1351368738">
    <w:abstractNumId w:val="8"/>
  </w:num>
  <w:num w:numId="4" w16cid:durableId="441263340">
    <w:abstractNumId w:val="9"/>
  </w:num>
  <w:num w:numId="5" w16cid:durableId="1439716478">
    <w:abstractNumId w:val="6"/>
  </w:num>
  <w:num w:numId="6" w16cid:durableId="1192256281">
    <w:abstractNumId w:val="7"/>
  </w:num>
  <w:num w:numId="7" w16cid:durableId="1888637818">
    <w:abstractNumId w:val="3"/>
  </w:num>
  <w:num w:numId="8" w16cid:durableId="151794080">
    <w:abstractNumId w:val="15"/>
  </w:num>
  <w:num w:numId="9" w16cid:durableId="1690643879">
    <w:abstractNumId w:val="1"/>
  </w:num>
  <w:num w:numId="10" w16cid:durableId="2080785763">
    <w:abstractNumId w:val="2"/>
  </w:num>
  <w:num w:numId="11" w16cid:durableId="1304198460">
    <w:abstractNumId w:val="11"/>
  </w:num>
  <w:num w:numId="12" w16cid:durableId="58672908">
    <w:abstractNumId w:val="14"/>
  </w:num>
  <w:num w:numId="13" w16cid:durableId="876352523">
    <w:abstractNumId w:val="5"/>
  </w:num>
  <w:num w:numId="14" w16cid:durableId="647441582">
    <w:abstractNumId w:val="13"/>
  </w:num>
  <w:num w:numId="15" w16cid:durableId="2112964621">
    <w:abstractNumId w:val="4"/>
  </w:num>
  <w:num w:numId="16" w16cid:durableId="1723777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A04F7"/>
    <w:rsid w:val="000D752F"/>
    <w:rsid w:val="00142EDE"/>
    <w:rsid w:val="002254DA"/>
    <w:rsid w:val="002B1A4C"/>
    <w:rsid w:val="002C6914"/>
    <w:rsid w:val="002D5FD6"/>
    <w:rsid w:val="00346203"/>
    <w:rsid w:val="003819F0"/>
    <w:rsid w:val="003844A0"/>
    <w:rsid w:val="003C49F4"/>
    <w:rsid w:val="003D2769"/>
    <w:rsid w:val="003F2B48"/>
    <w:rsid w:val="0041372E"/>
    <w:rsid w:val="00426C65"/>
    <w:rsid w:val="004407FB"/>
    <w:rsid w:val="004A27E0"/>
    <w:rsid w:val="004E5C0B"/>
    <w:rsid w:val="00560274"/>
    <w:rsid w:val="005715BA"/>
    <w:rsid w:val="00686E20"/>
    <w:rsid w:val="006E4028"/>
    <w:rsid w:val="007422BF"/>
    <w:rsid w:val="00780B5D"/>
    <w:rsid w:val="00785D99"/>
    <w:rsid w:val="007D76E5"/>
    <w:rsid w:val="00806FF4"/>
    <w:rsid w:val="00834B50"/>
    <w:rsid w:val="00893C90"/>
    <w:rsid w:val="00940F4B"/>
    <w:rsid w:val="00994D22"/>
    <w:rsid w:val="009E61B8"/>
    <w:rsid w:val="00A1205F"/>
    <w:rsid w:val="00A55BE6"/>
    <w:rsid w:val="00A83ECB"/>
    <w:rsid w:val="00A90333"/>
    <w:rsid w:val="00AC04DF"/>
    <w:rsid w:val="00AD1772"/>
    <w:rsid w:val="00B51E95"/>
    <w:rsid w:val="00B74F69"/>
    <w:rsid w:val="00C25D63"/>
    <w:rsid w:val="00C64200"/>
    <w:rsid w:val="00CA4BBF"/>
    <w:rsid w:val="00CF6D4E"/>
    <w:rsid w:val="00D02851"/>
    <w:rsid w:val="00D255D8"/>
    <w:rsid w:val="00D40695"/>
    <w:rsid w:val="00D45B8C"/>
    <w:rsid w:val="00DD2EE1"/>
    <w:rsid w:val="00DD55FE"/>
    <w:rsid w:val="00DF4A97"/>
    <w:rsid w:val="00E0002D"/>
    <w:rsid w:val="00EC3467"/>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paragraph" w:styleId="NormalWeb">
    <w:name w:val="Normal (Web)"/>
    <w:basedOn w:val="Normal"/>
    <w:uiPriority w:val="99"/>
    <w:semiHidden/>
    <w:unhideWhenUsed/>
    <w:rsid w:val="00DD55F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 w:id="17728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Michael Turner</cp:lastModifiedBy>
  <cp:revision>10</cp:revision>
  <dcterms:created xsi:type="dcterms:W3CDTF">2023-10-07T13:27:00Z</dcterms:created>
  <dcterms:modified xsi:type="dcterms:W3CDTF">2023-10-10T15:26:00Z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