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18F723B0" w:rsidR="009F33CA" w:rsidRPr="00DD3221" w:rsidRDefault="009F33CA"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Benefit of </w:t>
      </w:r>
      <w:r w:rsidR="00E02EF6">
        <w:rPr>
          <w:rFonts w:ascii="Times New Roman" w:eastAsia="Times New Roman" w:hAnsi="Times New Roman" w:cs="Times New Roman"/>
          <w:b/>
          <w:bCs/>
          <w:sz w:val="24"/>
          <w:szCs w:val="24"/>
        </w:rPr>
        <w:t>Rectal Tube</w:t>
      </w:r>
      <w:r>
        <w:rPr>
          <w:rFonts w:ascii="Times New Roman" w:eastAsia="Times New Roman" w:hAnsi="Times New Roman" w:cs="Times New Roman"/>
          <w:b/>
          <w:bCs/>
          <w:sz w:val="24"/>
          <w:szCs w:val="24"/>
        </w:rPr>
        <w:t xml:space="preserve"> Use</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4D44DC15"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Pr="001D5D27">
        <w:rPr>
          <w:rFonts w:ascii="Times New Roman" w:eastAsia="Times New Roman" w:hAnsi="Times New Roman" w:cs="Times New Roman"/>
          <w:sz w:val="24"/>
          <w:szCs w:val="24"/>
        </w:rPr>
        <w:t>3552-5</w:t>
      </w:r>
    </w:p>
    <w:p w14:paraId="0FF85BAD" w14:textId="74AD3554"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Jamie Osborn</w:t>
      </w:r>
    </w:p>
    <w:p w14:paraId="7077AC66" w14:textId="6240ECBD" w:rsidR="001D5D27" w:rsidRDefault="001D5D27"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January 23,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31751F8F"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3057EF">
        <w:rPr>
          <w:rFonts w:ascii="Times New Roman" w:eastAsia="Times New Roman" w:hAnsi="Times New Roman" w:cs="Times New Roman"/>
          <w:sz w:val="20"/>
          <w:szCs w:val="20"/>
        </w:rPr>
        <w:t>January 23,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0744E0D7" w:rsidR="00994D22" w:rsidRPr="007422BF" w:rsidRDefault="007028E6" w:rsidP="00D3582E">
            <w:pPr>
              <w:ind w:firstLine="720"/>
              <w:rPr>
                <w:rFonts w:ascii="Times New Roman" w:hAnsi="Times New Roman" w:cs="Times New Roman"/>
                <w:sz w:val="20"/>
                <w:szCs w:val="20"/>
              </w:rPr>
            </w:pPr>
            <w:r>
              <w:rPr>
                <w:rFonts w:ascii="Times New Roman" w:hAnsi="Times New Roman" w:cs="Times New Roman"/>
                <w:sz w:val="20"/>
                <w:szCs w:val="20"/>
              </w:rPr>
              <w:t>On January 14, I cared for a patient who had a rectal tube due to her diagnoses of a bowel obstruction and rectal cancer.</w:t>
            </w:r>
            <w:r w:rsidR="00D24D6C">
              <w:rPr>
                <w:rFonts w:ascii="Times New Roman" w:hAnsi="Times New Roman" w:cs="Times New Roman"/>
                <w:sz w:val="20"/>
                <w:szCs w:val="20"/>
              </w:rPr>
              <w:t xml:space="preserve"> I was confused with the concept of a rectal tube because I had never encountered one before in the clinical setting.</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6B229866" w:rsidR="00994D22" w:rsidRPr="007422BF" w:rsidRDefault="00D24D6C" w:rsidP="00D3582E">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discusses the potential benefit of the use of rectal tubes following anterior resection for rectal cancer (surgery to remove the cancer margin). The article explained that one of the most common complications to these surgeries is what is referred to as </w:t>
            </w:r>
            <w:r w:rsidRPr="00D24D6C">
              <w:rPr>
                <w:rFonts w:ascii="Times New Roman" w:hAnsi="Times New Roman" w:cs="Times New Roman"/>
                <w:sz w:val="20"/>
                <w:szCs w:val="20"/>
              </w:rPr>
              <w:t>anastomotic leakage</w:t>
            </w:r>
            <w:r w:rsidR="0087275F">
              <w:rPr>
                <w:rFonts w:ascii="Times New Roman" w:hAnsi="Times New Roman" w:cs="Times New Roman"/>
                <w:sz w:val="20"/>
                <w:szCs w:val="20"/>
              </w:rPr>
              <w:t xml:space="preserve"> (AL)</w:t>
            </w:r>
            <w:r>
              <w:rPr>
                <w:rFonts w:ascii="Times New Roman" w:hAnsi="Times New Roman" w:cs="Times New Roman"/>
                <w:sz w:val="20"/>
                <w:szCs w:val="20"/>
              </w:rPr>
              <w:t xml:space="preserve">, which essentially refers to the </w:t>
            </w:r>
            <w:r w:rsidR="00421AEF">
              <w:rPr>
                <w:rFonts w:ascii="Times New Roman" w:hAnsi="Times New Roman" w:cs="Times New Roman"/>
                <w:sz w:val="20"/>
                <w:szCs w:val="20"/>
              </w:rPr>
              <w:t xml:space="preserve">leaking of any substance within the gastrointestinal tract outside of the normal spot (Choy et al., 2021). </w:t>
            </w:r>
            <w:r w:rsidR="00D3582E">
              <w:rPr>
                <w:rFonts w:ascii="Times New Roman" w:hAnsi="Times New Roman" w:cs="Times New Roman"/>
                <w:sz w:val="20"/>
                <w:szCs w:val="20"/>
              </w:rPr>
              <w:t xml:space="preserve">AL can lead to sepsis and increases the risk of the cancer returning; hence, it is a huge issue. Rectal tubes reduce the risk of AL as the substances in the colon are diverted out of the rectum through the tube without needing to create stomas (Choy et al., 2021). Finally, Choy et al. (2021) </w:t>
            </w:r>
            <w:proofErr w:type="gramStart"/>
            <w:r w:rsidR="00D3582E">
              <w:rPr>
                <w:rFonts w:ascii="Times New Roman" w:hAnsi="Times New Roman" w:cs="Times New Roman"/>
                <w:sz w:val="20"/>
                <w:szCs w:val="20"/>
              </w:rPr>
              <w:t>note</w:t>
            </w:r>
            <w:proofErr w:type="gramEnd"/>
            <w:r w:rsidR="00D3582E">
              <w:rPr>
                <w:rFonts w:ascii="Times New Roman" w:hAnsi="Times New Roman" w:cs="Times New Roman"/>
                <w:sz w:val="20"/>
                <w:szCs w:val="20"/>
              </w:rPr>
              <w:t xml:space="preserve"> that the patient beginning to pass flatus is an important indicator for the rectal tube to be removed as it can shift the position of the tube.</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proofErr w:type="gramStart"/>
            <w:r w:rsidR="202A41FE" w:rsidRPr="710F5BCD">
              <w:rPr>
                <w:rFonts w:ascii="Times New Roman" w:hAnsi="Times New Roman" w:cs="Times New Roman"/>
                <w:sz w:val="20"/>
                <w:szCs w:val="20"/>
              </w:rPr>
              <w:t>e.g.</w:t>
            </w:r>
            <w:proofErr w:type="gramEnd"/>
            <w:r w:rsidR="202A41FE" w:rsidRPr="710F5BCD">
              <w:rPr>
                <w:rFonts w:ascii="Times New Roman" w:hAnsi="Times New Roman" w:cs="Times New Roman"/>
                <w:sz w:val="20"/>
                <w:szCs w:val="20"/>
              </w:rPr>
              <w:t xml:space="preserve">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w:t>
            </w:r>
            <w:proofErr w:type="gramStart"/>
            <w:r w:rsidR="09F2498C" w:rsidRPr="191C1DDF">
              <w:rPr>
                <w:rFonts w:ascii="Times New Roman" w:hAnsi="Times New Roman" w:cs="Times New Roman"/>
                <w:sz w:val="20"/>
                <w:szCs w:val="20"/>
              </w:rPr>
              <w:t>e.g.</w:t>
            </w:r>
            <w:proofErr w:type="gramEnd"/>
            <w:r w:rsidR="09F2498C" w:rsidRPr="191C1DDF">
              <w:rPr>
                <w:rFonts w:ascii="Times New Roman" w:hAnsi="Times New Roman" w:cs="Times New Roman"/>
                <w:sz w:val="20"/>
                <w:szCs w:val="20"/>
              </w:rPr>
              <w:t xml:space="preserve">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5724EA1" w14:textId="77777777" w:rsidR="00994D22" w:rsidRDefault="001F37E4" w:rsidP="00D3582E">
            <w:pPr>
              <w:ind w:firstLine="720"/>
              <w:rPr>
                <w:rFonts w:ascii="Times New Roman" w:hAnsi="Times New Roman" w:cs="Times New Roman"/>
                <w:sz w:val="20"/>
                <w:szCs w:val="20"/>
              </w:rPr>
            </w:pPr>
            <w:r w:rsidRPr="001F37E4">
              <w:rPr>
                <w:rFonts w:ascii="Times New Roman" w:hAnsi="Times New Roman" w:cs="Times New Roman"/>
                <w:sz w:val="20"/>
                <w:szCs w:val="20"/>
              </w:rPr>
              <w:lastRenderedPageBreak/>
              <w:t>The article mentions that from a patient perspective, rectal tubes can cause discomfort and potential pain related to the rube itself and the secure stitching</w:t>
            </w:r>
            <w:r>
              <w:rPr>
                <w:rFonts w:ascii="Times New Roman" w:hAnsi="Times New Roman" w:cs="Times New Roman"/>
                <w:sz w:val="20"/>
                <w:szCs w:val="20"/>
              </w:rPr>
              <w:t xml:space="preserve"> (Choy et. al, 2021)</w:t>
            </w:r>
            <w:r w:rsidRPr="001F37E4">
              <w:rPr>
                <w:rFonts w:ascii="Times New Roman" w:hAnsi="Times New Roman" w:cs="Times New Roman"/>
                <w:sz w:val="20"/>
                <w:szCs w:val="20"/>
              </w:rPr>
              <w:t>. This makes sense as my patient</w:t>
            </w:r>
            <w:r>
              <w:rPr>
                <w:rFonts w:ascii="Times New Roman" w:hAnsi="Times New Roman" w:cs="Times New Roman"/>
                <w:sz w:val="20"/>
                <w:szCs w:val="20"/>
              </w:rPr>
              <w:t xml:space="preserve"> was lying supine on her back. Without props like pillow, she would certainly have felt the tube every time she shifted in bed.</w:t>
            </w:r>
          </w:p>
          <w:p w14:paraId="0E9FC007" w14:textId="77777777" w:rsidR="001F37E4" w:rsidRDefault="001F37E4" w:rsidP="00D3582E">
            <w:pPr>
              <w:ind w:firstLine="720"/>
              <w:rPr>
                <w:rFonts w:ascii="Times New Roman" w:hAnsi="Times New Roman" w:cs="Times New Roman"/>
                <w:sz w:val="20"/>
                <w:szCs w:val="20"/>
              </w:rPr>
            </w:pPr>
            <w:r>
              <w:rPr>
                <w:rFonts w:ascii="Times New Roman" w:hAnsi="Times New Roman" w:cs="Times New Roman"/>
                <w:sz w:val="20"/>
                <w:szCs w:val="20"/>
              </w:rPr>
              <w:lastRenderedPageBreak/>
              <w:t>Another perspective could be from the care team. The decision to use a rectal tube would require them to weigh the pros and cons. While the</w:t>
            </w:r>
            <w:r w:rsidR="00923E0E">
              <w:rPr>
                <w:rFonts w:ascii="Times New Roman" w:hAnsi="Times New Roman" w:cs="Times New Roman"/>
                <w:sz w:val="20"/>
                <w:szCs w:val="20"/>
              </w:rPr>
              <w:t>re</w:t>
            </w:r>
            <w:r>
              <w:rPr>
                <w:rFonts w:ascii="Times New Roman" w:hAnsi="Times New Roman" w:cs="Times New Roman"/>
                <w:sz w:val="20"/>
                <w:szCs w:val="20"/>
              </w:rPr>
              <w:t xml:space="preserve"> </w:t>
            </w:r>
            <w:r w:rsidR="00923E0E">
              <w:rPr>
                <w:rFonts w:ascii="Times New Roman" w:hAnsi="Times New Roman" w:cs="Times New Roman"/>
                <w:sz w:val="20"/>
                <w:szCs w:val="20"/>
              </w:rPr>
              <w:t xml:space="preserve">was a great amount of evidence proved in the article that </w:t>
            </w:r>
            <w:r>
              <w:rPr>
                <w:rFonts w:ascii="Times New Roman" w:hAnsi="Times New Roman" w:cs="Times New Roman"/>
                <w:sz w:val="20"/>
                <w:szCs w:val="20"/>
              </w:rPr>
              <w:t>rectal tube</w:t>
            </w:r>
            <w:r w:rsidR="00923E0E">
              <w:rPr>
                <w:rFonts w:ascii="Times New Roman" w:hAnsi="Times New Roman" w:cs="Times New Roman"/>
                <w:sz w:val="20"/>
                <w:szCs w:val="20"/>
              </w:rPr>
              <w:t xml:space="preserve">s decrease the risk of AL, the authors also mention that one rare, but serious complication with rectal tubes is perforation (Choy et. al, 2021). Considering that </w:t>
            </w:r>
            <w:r w:rsidR="00D3582E">
              <w:rPr>
                <w:rFonts w:ascii="Times New Roman" w:hAnsi="Times New Roman" w:cs="Times New Roman"/>
                <w:sz w:val="20"/>
                <w:szCs w:val="20"/>
              </w:rPr>
              <w:t xml:space="preserve">these patients are already in such a delicate condition, colon perforation would </w:t>
            </w:r>
            <w:r w:rsidR="00B10CC4">
              <w:rPr>
                <w:rFonts w:ascii="Times New Roman" w:hAnsi="Times New Roman" w:cs="Times New Roman"/>
                <w:sz w:val="20"/>
                <w:szCs w:val="20"/>
              </w:rPr>
              <w:t>make it increasingly difficult for the patient to recover.</w:t>
            </w:r>
          </w:p>
          <w:p w14:paraId="71846170" w14:textId="539DB94F" w:rsidR="00B10CC4" w:rsidRPr="007422BF" w:rsidRDefault="00B10CC4" w:rsidP="00D3582E">
            <w:pPr>
              <w:ind w:firstLine="720"/>
              <w:rPr>
                <w:rFonts w:ascii="Times New Roman" w:hAnsi="Times New Roman" w:cs="Times New Roman"/>
                <w:color w:val="C00000"/>
                <w:sz w:val="20"/>
                <w:szCs w:val="20"/>
              </w:rPr>
            </w:pPr>
            <w:r>
              <w:rPr>
                <w:rFonts w:ascii="Times New Roman" w:hAnsi="Times New Roman" w:cs="Times New Roman"/>
                <w:sz w:val="20"/>
                <w:szCs w:val="20"/>
              </w:rPr>
              <w:t>Compared to creating a stoma, I think rectal tubes are a great option as they are a temporary solution that can later be removed. This would be less intimidating to the patient. One question that should be considered is what possible interventions we can take at the nursing level to increase comfort for patients with rectal tubes such as using pillows or wedges to decrease pressure on the tube.</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465331A2" w:rsidR="00994D22" w:rsidRPr="007422BF" w:rsidRDefault="0087275F" w:rsidP="00D3582E">
            <w:pPr>
              <w:ind w:firstLine="720"/>
              <w:rPr>
                <w:rFonts w:ascii="Times New Roman" w:hAnsi="Times New Roman" w:cs="Times New Roman"/>
                <w:sz w:val="20"/>
                <w:szCs w:val="20"/>
              </w:rPr>
            </w:pPr>
            <w:r>
              <w:rPr>
                <w:rFonts w:ascii="Times New Roman" w:hAnsi="Times New Roman" w:cs="Times New Roman"/>
                <w:sz w:val="20"/>
                <w:szCs w:val="20"/>
              </w:rPr>
              <w:t>Overall, I learned that rectal tubes reduce the risk of AL</w:t>
            </w:r>
            <w:r w:rsidR="00923E0E">
              <w:rPr>
                <w:rFonts w:ascii="Times New Roman" w:hAnsi="Times New Roman" w:cs="Times New Roman"/>
                <w:sz w:val="20"/>
                <w:szCs w:val="20"/>
              </w:rPr>
              <w:t xml:space="preserve"> which can lead to a multitude of issues including sepsis. Two major considerations for the use of rectal tubes are the discomfort caused to patients and the possibility of colon perforation. </w:t>
            </w:r>
            <w:r>
              <w:rPr>
                <w:rFonts w:ascii="Times New Roman" w:hAnsi="Times New Roman" w:cs="Times New Roman"/>
                <w:sz w:val="20"/>
                <w:szCs w:val="20"/>
              </w:rPr>
              <w:t>There wasn’t really anything I could have done differently at the time of my clinical experience since there wasn’t an actual issue, but rather an opportunity for learning.</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w:t>
            </w:r>
            <w:proofErr w:type="gramStart"/>
            <w:r w:rsidR="000D752F" w:rsidRPr="191C1DDF">
              <w:rPr>
                <w:rFonts w:ascii="Times New Roman" w:hAnsi="Times New Roman" w:cs="Times New Roman"/>
                <w:sz w:val="20"/>
                <w:szCs w:val="20"/>
              </w:rPr>
              <w:t>e.g.</w:t>
            </w:r>
            <w:proofErr w:type="gramEnd"/>
            <w:r w:rsidR="000D752F" w:rsidRPr="191C1DDF">
              <w:rPr>
                <w:rFonts w:ascii="Times New Roman" w:hAnsi="Times New Roman" w:cs="Times New Roman"/>
                <w:sz w:val="20"/>
                <w:szCs w:val="20"/>
              </w:rPr>
              <w:t xml:space="preserve">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42EAFA84" w:rsidR="00994D22" w:rsidRPr="007422BF" w:rsidRDefault="00923E0E" w:rsidP="00D3582E">
            <w:pPr>
              <w:ind w:firstLine="720"/>
              <w:rPr>
                <w:rFonts w:ascii="Times New Roman" w:hAnsi="Times New Roman" w:cs="Times New Roman"/>
                <w:sz w:val="20"/>
                <w:szCs w:val="20"/>
              </w:rPr>
            </w:pPr>
            <w:r>
              <w:rPr>
                <w:rFonts w:ascii="Times New Roman" w:hAnsi="Times New Roman" w:cs="Times New Roman"/>
                <w:sz w:val="20"/>
                <w:szCs w:val="20"/>
              </w:rPr>
              <w:t xml:space="preserve">In the future, I will this knowledge on rectal tubes will help me if I have a patient who has one is as I will know what to assess for. For example, since perforation is a serious complication, I would ensure that I check the tube placement periodically and assess for pain and bleeding. </w:t>
            </w:r>
            <w:r w:rsidR="00262F75">
              <w:rPr>
                <w:rFonts w:ascii="Times New Roman" w:hAnsi="Times New Roman" w:cs="Times New Roman"/>
                <w:sz w:val="20"/>
                <w:szCs w:val="20"/>
              </w:rPr>
              <w:t>Since rectal tubes are a more specific resource, the likelihood of finding information to develop this practice within one of the more general nursing textbooks would be quite low. Instead, I can look more into peer-reviewed journals on the topic and find scholars on the topic online.</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w:t>
            </w:r>
            <w:proofErr w:type="gramStart"/>
            <w:r w:rsidRPr="191C1DDF">
              <w:rPr>
                <w:rFonts w:ascii="Times New Roman" w:hAnsi="Times New Roman" w:cs="Times New Roman"/>
                <w:sz w:val="16"/>
                <w:szCs w:val="16"/>
              </w:rPr>
              <w:t>critical</w:t>
            </w:r>
            <w:proofErr w:type="gramEnd"/>
            <w:r w:rsidRPr="191C1DDF">
              <w:rPr>
                <w:rFonts w:ascii="Times New Roman" w:hAnsi="Times New Roman" w:cs="Times New Roman"/>
                <w:sz w:val="16"/>
                <w:szCs w:val="16"/>
              </w:rPr>
              <w:t xml:space="preserve">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109F16F5" w14:textId="3DA7BF82" w:rsidR="00D45B8C" w:rsidRDefault="00421AEF">
            <w:pPr>
              <w:rPr>
                <w:rFonts w:ascii="Times New Roman" w:hAnsi="Times New Roman" w:cs="Times New Roman"/>
                <w:sz w:val="20"/>
                <w:szCs w:val="20"/>
              </w:rPr>
            </w:pPr>
            <w:r>
              <w:rPr>
                <w:rFonts w:ascii="Times New Roman" w:hAnsi="Times New Roman" w:cs="Times New Roman"/>
                <w:sz w:val="20"/>
                <w:szCs w:val="20"/>
              </w:rPr>
              <w:t>Know-based practice – understanding the use of rectal tubes and applying it in practice</w:t>
            </w:r>
          </w:p>
          <w:p w14:paraId="1AEFF48A" w14:textId="00365E77" w:rsidR="00421AEF" w:rsidRDefault="00421AEF">
            <w:pPr>
              <w:rPr>
                <w:rFonts w:ascii="Times New Roman" w:hAnsi="Times New Roman" w:cs="Times New Roman"/>
                <w:sz w:val="20"/>
                <w:szCs w:val="20"/>
              </w:rPr>
            </w:pPr>
            <w:r>
              <w:rPr>
                <w:rFonts w:ascii="Times New Roman" w:hAnsi="Times New Roman" w:cs="Times New Roman"/>
                <w:sz w:val="20"/>
                <w:szCs w:val="20"/>
              </w:rPr>
              <w:t>Teaching and learning – I didn’t know what rectal tubes are, so I researched it to learn</w:t>
            </w:r>
          </w:p>
          <w:p w14:paraId="7F920B86" w14:textId="39EDA908" w:rsidR="00421AEF" w:rsidRPr="007422BF" w:rsidRDefault="00421AEF">
            <w:pPr>
              <w:rPr>
                <w:rFonts w:ascii="Times New Roman" w:hAnsi="Times New Roman" w:cs="Times New Roman"/>
                <w:sz w:val="20"/>
                <w:szCs w:val="20"/>
              </w:rPr>
            </w:pPr>
            <w:r>
              <w:rPr>
                <w:rFonts w:ascii="Times New Roman" w:hAnsi="Times New Roman" w:cs="Times New Roman"/>
                <w:sz w:val="20"/>
                <w:szCs w:val="20"/>
              </w:rPr>
              <w:t>Safety – preventing post-surgical complications in treatment of rectal cancer using rectal tubes</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68A6560" w14:textId="77777777" w:rsidR="00421AEF" w:rsidRDefault="00421AEF" w:rsidP="00D3582E">
            <w:pPr>
              <w:ind w:left="720" w:hanging="720"/>
              <w:rPr>
                <w:rFonts w:ascii="Times New Roman" w:hAnsi="Times New Roman" w:cs="Times New Roman"/>
                <w:sz w:val="20"/>
                <w:szCs w:val="20"/>
              </w:rPr>
            </w:pPr>
          </w:p>
          <w:p w14:paraId="05B62EFD" w14:textId="3316A37B" w:rsidR="00421AEF" w:rsidRPr="007422BF" w:rsidRDefault="00421AEF" w:rsidP="00D3582E">
            <w:pPr>
              <w:ind w:left="720" w:hanging="720"/>
              <w:rPr>
                <w:rFonts w:ascii="Times New Roman" w:hAnsi="Times New Roman" w:cs="Times New Roman"/>
                <w:sz w:val="20"/>
                <w:szCs w:val="20"/>
              </w:rPr>
            </w:pPr>
            <w:r w:rsidRPr="00421AEF">
              <w:rPr>
                <w:rFonts w:ascii="Times New Roman" w:hAnsi="Times New Roman" w:cs="Times New Roman"/>
                <w:sz w:val="20"/>
                <w:szCs w:val="20"/>
              </w:rPr>
              <w:t>Choy, K. T., Yang, T., Heriot, A., Warrier, S. K., &amp; Kong, J. C. (2021). Does rectal tube/transanal stent placement after an anterior resection for rectal cancer reduce anastomotic leak? A systematic review and meta-analysis. </w:t>
            </w:r>
            <w:r w:rsidRPr="00421AEF">
              <w:rPr>
                <w:rFonts w:ascii="Times New Roman" w:hAnsi="Times New Roman" w:cs="Times New Roman"/>
                <w:i/>
                <w:iCs/>
                <w:sz w:val="20"/>
                <w:szCs w:val="20"/>
              </w:rPr>
              <w:t>International journal of colorectal disease</w:t>
            </w:r>
            <w:r w:rsidRPr="00421AEF">
              <w:rPr>
                <w:rFonts w:ascii="Times New Roman" w:hAnsi="Times New Roman" w:cs="Times New Roman"/>
                <w:sz w:val="20"/>
                <w:szCs w:val="20"/>
              </w:rPr>
              <w:t>, </w:t>
            </w:r>
            <w:r w:rsidRPr="00421AEF">
              <w:rPr>
                <w:rFonts w:ascii="Times New Roman" w:hAnsi="Times New Roman" w:cs="Times New Roman"/>
                <w:i/>
                <w:iCs/>
                <w:sz w:val="20"/>
                <w:szCs w:val="20"/>
              </w:rPr>
              <w:t>36</w:t>
            </w:r>
            <w:r w:rsidRPr="00421AEF">
              <w:rPr>
                <w:rFonts w:ascii="Times New Roman" w:hAnsi="Times New Roman" w:cs="Times New Roman"/>
                <w:sz w:val="20"/>
                <w:szCs w:val="20"/>
              </w:rPr>
              <w:t>(6), 1123–1132. https://doi.org/10.1007/s00384-021-03851-8</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0D1E" w14:textId="77777777" w:rsidR="00480086" w:rsidRDefault="00480086" w:rsidP="00D255D8">
      <w:pPr>
        <w:spacing w:after="0" w:line="240" w:lineRule="auto"/>
      </w:pPr>
      <w:r>
        <w:separator/>
      </w:r>
    </w:p>
  </w:endnote>
  <w:endnote w:type="continuationSeparator" w:id="0">
    <w:p w14:paraId="55D608BD" w14:textId="77777777" w:rsidR="00480086" w:rsidRDefault="00480086" w:rsidP="00D255D8">
      <w:pPr>
        <w:spacing w:after="0" w:line="240" w:lineRule="auto"/>
      </w:pPr>
      <w:r>
        <w:continuationSeparator/>
      </w:r>
    </w:p>
  </w:endnote>
  <w:endnote w:type="continuationNotice" w:id="1">
    <w:p w14:paraId="790C8796" w14:textId="77777777" w:rsidR="00480086" w:rsidRDefault="00480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6B23" w14:textId="77777777" w:rsidR="00480086" w:rsidRDefault="00480086" w:rsidP="00D255D8">
      <w:pPr>
        <w:spacing w:after="0" w:line="240" w:lineRule="auto"/>
      </w:pPr>
      <w:r>
        <w:separator/>
      </w:r>
    </w:p>
  </w:footnote>
  <w:footnote w:type="continuationSeparator" w:id="0">
    <w:p w14:paraId="13911AD9" w14:textId="77777777" w:rsidR="00480086" w:rsidRDefault="00480086" w:rsidP="00D255D8">
      <w:pPr>
        <w:spacing w:after="0" w:line="240" w:lineRule="auto"/>
      </w:pPr>
      <w:r>
        <w:continuationSeparator/>
      </w:r>
    </w:p>
  </w:footnote>
  <w:footnote w:type="continuationNotice" w:id="1">
    <w:p w14:paraId="159D674C" w14:textId="77777777" w:rsidR="00480086" w:rsidRDefault="00480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1D5D27"/>
    <w:rsid w:val="001F37E4"/>
    <w:rsid w:val="002168DE"/>
    <w:rsid w:val="002254DA"/>
    <w:rsid w:val="00262F75"/>
    <w:rsid w:val="002B1A4C"/>
    <w:rsid w:val="002C6914"/>
    <w:rsid w:val="002D5FD6"/>
    <w:rsid w:val="003057EF"/>
    <w:rsid w:val="00346203"/>
    <w:rsid w:val="003819F0"/>
    <w:rsid w:val="003D2769"/>
    <w:rsid w:val="003F2B48"/>
    <w:rsid w:val="0041372E"/>
    <w:rsid w:val="00421AEF"/>
    <w:rsid w:val="00426C65"/>
    <w:rsid w:val="004407FB"/>
    <w:rsid w:val="00480086"/>
    <w:rsid w:val="00532EC1"/>
    <w:rsid w:val="005715BA"/>
    <w:rsid w:val="00686E20"/>
    <w:rsid w:val="007028E6"/>
    <w:rsid w:val="007422BF"/>
    <w:rsid w:val="00785D99"/>
    <w:rsid w:val="007D76E5"/>
    <w:rsid w:val="00806FF4"/>
    <w:rsid w:val="00834B50"/>
    <w:rsid w:val="0087275F"/>
    <w:rsid w:val="00923E0E"/>
    <w:rsid w:val="00940F4B"/>
    <w:rsid w:val="00994D22"/>
    <w:rsid w:val="009F33CA"/>
    <w:rsid w:val="00A1205F"/>
    <w:rsid w:val="00A55BE6"/>
    <w:rsid w:val="00A83ECB"/>
    <w:rsid w:val="00A90333"/>
    <w:rsid w:val="00AD1772"/>
    <w:rsid w:val="00AE03E1"/>
    <w:rsid w:val="00B10CC4"/>
    <w:rsid w:val="00B51E95"/>
    <w:rsid w:val="00B74F69"/>
    <w:rsid w:val="00C25D63"/>
    <w:rsid w:val="00C64200"/>
    <w:rsid w:val="00CF6D4E"/>
    <w:rsid w:val="00D24452"/>
    <w:rsid w:val="00D24D6C"/>
    <w:rsid w:val="00D255D8"/>
    <w:rsid w:val="00D3582E"/>
    <w:rsid w:val="00D45B8C"/>
    <w:rsid w:val="00DD2EE1"/>
    <w:rsid w:val="00E02EF6"/>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7</cp:revision>
  <dcterms:created xsi:type="dcterms:W3CDTF">2020-07-02T18:15:00Z</dcterms:created>
  <dcterms:modified xsi:type="dcterms:W3CDTF">2022-01-24T04:05:00Z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