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1661" w14:textId="4017177C"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5D8EEA99"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55F424EB" w:rsidR="00994D22" w:rsidRPr="007422BF" w:rsidRDefault="00E21428" w:rsidP="0FB05382">
            <w:pPr>
              <w:rPr>
                <w:rFonts w:ascii="Times New Roman" w:hAnsi="Times New Roman" w:cs="Times New Roman"/>
                <w:sz w:val="20"/>
                <w:szCs w:val="20"/>
              </w:rPr>
            </w:pPr>
            <w:r>
              <w:rPr>
                <w:rFonts w:ascii="Times New Roman" w:hAnsi="Times New Roman" w:cs="Times New Roman"/>
                <w:sz w:val="20"/>
                <w:szCs w:val="20"/>
              </w:rPr>
              <w:t xml:space="preserve">When receiving my patient assignment, I saw my patient had a history of narcotic dependence and was on multiple antipsychotics. As a nurse we try to not have any prejudgments or bias, but as a young adult I sometimes catch myself having prejudgments. </w:t>
            </w:r>
            <w:r w:rsidR="00CF68DB">
              <w:rPr>
                <w:rFonts w:ascii="Times New Roman" w:hAnsi="Times New Roman" w:cs="Times New Roman"/>
                <w:sz w:val="20"/>
                <w:szCs w:val="20"/>
              </w:rPr>
              <w:t>So,</w:t>
            </w:r>
            <w:r>
              <w:rPr>
                <w:rFonts w:ascii="Times New Roman" w:hAnsi="Times New Roman" w:cs="Times New Roman"/>
                <w:sz w:val="20"/>
                <w:szCs w:val="20"/>
              </w:rPr>
              <w:t xml:space="preserve"> after learning this information I was a little worried about how my patient would treat me, etc. however </w:t>
            </w:r>
            <w:r w:rsidR="00A67F2B">
              <w:rPr>
                <w:rFonts w:ascii="Times New Roman" w:hAnsi="Times New Roman" w:cs="Times New Roman"/>
                <w:sz w:val="20"/>
                <w:szCs w:val="20"/>
              </w:rPr>
              <w:t xml:space="preserve">when I went in to meet my patient he was one of the nicest patients </w:t>
            </w:r>
            <w:r w:rsidR="00CF68DB">
              <w:rPr>
                <w:rFonts w:ascii="Times New Roman" w:hAnsi="Times New Roman" w:cs="Times New Roman"/>
                <w:sz w:val="20"/>
                <w:szCs w:val="20"/>
              </w:rPr>
              <w:t>I’ve</w:t>
            </w:r>
            <w:r w:rsidR="00A67F2B">
              <w:rPr>
                <w:rFonts w:ascii="Times New Roman" w:hAnsi="Times New Roman" w:cs="Times New Roman"/>
                <w:sz w:val="20"/>
                <w:szCs w:val="20"/>
              </w:rPr>
              <w:t xml:space="preserve"> had and that led me to have a very enjoyable shift. This experience was a great example and reminded me as to why its so important to not go into a situation with a </w:t>
            </w:r>
            <w:r w:rsidR="00CF68DB">
              <w:rPr>
                <w:rFonts w:ascii="Times New Roman" w:hAnsi="Times New Roman" w:cs="Times New Roman"/>
                <w:sz w:val="20"/>
                <w:szCs w:val="20"/>
              </w:rPr>
              <w:t>preconceived</w:t>
            </w:r>
            <w:r w:rsidR="00A67F2B">
              <w:rPr>
                <w:rFonts w:ascii="Times New Roman" w:hAnsi="Times New Roman" w:cs="Times New Roman"/>
                <w:sz w:val="20"/>
                <w:szCs w:val="20"/>
              </w:rPr>
              <w:t xml:space="preserve"> judgment. </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6D4000E1" w:rsidR="00994D22" w:rsidRPr="007422BF" w:rsidRDefault="007E6269">
            <w:pPr>
              <w:rPr>
                <w:rFonts w:ascii="Times New Roman" w:hAnsi="Times New Roman" w:cs="Times New Roman"/>
                <w:sz w:val="20"/>
                <w:szCs w:val="20"/>
              </w:rPr>
            </w:pPr>
            <w:r>
              <w:rPr>
                <w:rFonts w:ascii="Times New Roman" w:hAnsi="Times New Roman" w:cs="Times New Roman"/>
                <w:sz w:val="20"/>
                <w:szCs w:val="20"/>
              </w:rPr>
              <w:t xml:space="preserve">The key findings of the article were that bias is within all of us, its part of a natural human instinct and a lot of the time this bias is unconscious and can affect our decision making, especially when put into a position of power. Combating unconscious bias is through education and raising awareness. I definitely agree with the article that these </w:t>
            </w:r>
            <w:proofErr w:type="gramStart"/>
            <w:r w:rsidR="00E21349">
              <w:rPr>
                <w:rFonts w:ascii="Times New Roman" w:hAnsi="Times New Roman" w:cs="Times New Roman"/>
                <w:sz w:val="20"/>
                <w:szCs w:val="20"/>
              </w:rPr>
              <w:t>bias’s</w:t>
            </w:r>
            <w:proofErr w:type="gramEnd"/>
            <w:r>
              <w:rPr>
                <w:rFonts w:ascii="Times New Roman" w:hAnsi="Times New Roman" w:cs="Times New Roman"/>
                <w:sz w:val="20"/>
                <w:szCs w:val="20"/>
              </w:rPr>
              <w:t xml:space="preserve"> within us are unconscious and can be addressed. I think in my case </w:t>
            </w:r>
            <w:r w:rsidR="00E21349">
              <w:rPr>
                <w:rFonts w:ascii="Times New Roman" w:hAnsi="Times New Roman" w:cs="Times New Roman"/>
                <w:sz w:val="20"/>
                <w:szCs w:val="20"/>
              </w:rPr>
              <w:t xml:space="preserve">my bias was the assumption that if my patient was or is a drug addict, they might not be the nicest person to me. However, I had to address that bias within myself and go into that room open minded. I think the articles idea of changing this unconscious bias through education is true. I think once you realize that bias is there its much easier to get rid of it. </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w:t>
            </w:r>
            <w:r w:rsidR="002B1A4C" w:rsidRPr="710F5BCD">
              <w:rPr>
                <w:rFonts w:ascii="Times New Roman" w:hAnsi="Times New Roman" w:cs="Times New Roman"/>
                <w:sz w:val="20"/>
                <w:szCs w:val="20"/>
              </w:rPr>
              <w:lastRenderedPageBreak/>
              <w:t xml:space="preserve">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649F9B98" w14:textId="77777777" w:rsidR="00994D22" w:rsidRDefault="00A67F2B" w:rsidP="0FB05382">
            <w:pPr>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I think for patients </w:t>
            </w:r>
            <w:r w:rsidR="00EB4137">
              <w:rPr>
                <w:rFonts w:ascii="Times New Roman" w:hAnsi="Times New Roman" w:cs="Times New Roman"/>
                <w:color w:val="C00000"/>
                <w:sz w:val="20"/>
                <w:szCs w:val="20"/>
              </w:rPr>
              <w:t>it</w:t>
            </w:r>
            <w:r>
              <w:rPr>
                <w:rFonts w:ascii="Times New Roman" w:hAnsi="Times New Roman" w:cs="Times New Roman"/>
                <w:color w:val="C00000"/>
                <w:sz w:val="20"/>
                <w:szCs w:val="20"/>
              </w:rPr>
              <w:t xml:space="preserve"> makes them feel a lot safer and respected when they feel their healthcare provider is </w:t>
            </w:r>
            <w:r w:rsidR="00EB4137">
              <w:rPr>
                <w:rFonts w:ascii="Times New Roman" w:hAnsi="Times New Roman" w:cs="Times New Roman"/>
                <w:color w:val="C00000"/>
                <w:sz w:val="20"/>
                <w:szCs w:val="20"/>
              </w:rPr>
              <w:t>nonjudgmental</w:t>
            </w:r>
            <w:r>
              <w:rPr>
                <w:rFonts w:ascii="Times New Roman" w:hAnsi="Times New Roman" w:cs="Times New Roman"/>
                <w:color w:val="C00000"/>
                <w:sz w:val="20"/>
                <w:szCs w:val="20"/>
              </w:rPr>
              <w:t xml:space="preserve"> of them. </w:t>
            </w:r>
            <w:r w:rsidR="00EB4137">
              <w:rPr>
                <w:rFonts w:ascii="Times New Roman" w:hAnsi="Times New Roman" w:cs="Times New Roman"/>
                <w:color w:val="C00000"/>
                <w:sz w:val="20"/>
                <w:szCs w:val="20"/>
              </w:rPr>
              <w:t xml:space="preserve">I think when patients get the perception that their healthcare provider is judging them it would make </w:t>
            </w:r>
            <w:r w:rsidR="00EB4137">
              <w:rPr>
                <w:rFonts w:ascii="Times New Roman" w:hAnsi="Times New Roman" w:cs="Times New Roman"/>
                <w:color w:val="C00000"/>
                <w:sz w:val="20"/>
                <w:szCs w:val="20"/>
              </w:rPr>
              <w:lastRenderedPageBreak/>
              <w:t xml:space="preserve">them not want to come back which could put their health at risk due to not seeking medical attention when its needed. </w:t>
            </w:r>
          </w:p>
          <w:p w14:paraId="71846170" w14:textId="7A27AE08" w:rsidR="00EB4137" w:rsidRPr="007422BF" w:rsidRDefault="00EB4137" w:rsidP="0FB05382">
            <w:pPr>
              <w:rPr>
                <w:rFonts w:ascii="Times New Roman" w:hAnsi="Times New Roman" w:cs="Times New Roman"/>
                <w:color w:val="C00000"/>
                <w:sz w:val="20"/>
                <w:szCs w:val="20"/>
              </w:rPr>
            </w:pPr>
            <w:r>
              <w:rPr>
                <w:rFonts w:ascii="Times New Roman" w:hAnsi="Times New Roman" w:cs="Times New Roman"/>
                <w:color w:val="C00000"/>
                <w:sz w:val="20"/>
                <w:szCs w:val="20"/>
              </w:rPr>
              <w:t xml:space="preserve">As an individual who has family, I think its important for families of patients to get the perception that their nurse isn’t judging the patient in anyway and is caring for them to the best of their abilities. </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22E89A81" w:rsidR="00994D22" w:rsidRPr="007422BF" w:rsidRDefault="00E21349">
            <w:pPr>
              <w:rPr>
                <w:rFonts w:ascii="Times New Roman" w:hAnsi="Times New Roman" w:cs="Times New Roman"/>
                <w:sz w:val="20"/>
                <w:szCs w:val="20"/>
              </w:rPr>
            </w:pPr>
            <w:r>
              <w:rPr>
                <w:rFonts w:ascii="Times New Roman" w:hAnsi="Times New Roman" w:cs="Times New Roman"/>
                <w:sz w:val="20"/>
                <w:szCs w:val="20"/>
              </w:rPr>
              <w:t xml:space="preserve">I think my learning through this experience and the article is that bias is within everyone and its okay if you find yourself stereotyping someone. That the important part is that when your find yourself stereotyping you educate yourself and address that bias within you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provide safe and judgment free care. I don’t think there was anything I could have done differently in this clinical experience because I already had previous knowledge of unconscious bias and so I was able to not let that affect my anxiety towards meeting my patient. I think if anything this experience will help me educate others and remind myself to never judge a book by its cover.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lastRenderedPageBreak/>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5D4E3F67" w14:textId="77777777" w:rsidR="00994D22" w:rsidRDefault="00E21349">
            <w:pPr>
              <w:rPr>
                <w:rFonts w:ascii="Times New Roman" w:hAnsi="Times New Roman" w:cs="Times New Roman"/>
                <w:sz w:val="20"/>
                <w:szCs w:val="20"/>
              </w:rPr>
            </w:pPr>
            <w:r>
              <w:rPr>
                <w:rFonts w:ascii="Times New Roman" w:hAnsi="Times New Roman" w:cs="Times New Roman"/>
                <w:sz w:val="20"/>
                <w:szCs w:val="20"/>
              </w:rPr>
              <w:lastRenderedPageBreak/>
              <w:t xml:space="preserve">This new knowledge will help me to address other </w:t>
            </w:r>
            <w:proofErr w:type="gramStart"/>
            <w:r>
              <w:rPr>
                <w:rFonts w:ascii="Times New Roman" w:hAnsi="Times New Roman" w:cs="Times New Roman"/>
                <w:sz w:val="20"/>
                <w:szCs w:val="20"/>
              </w:rPr>
              <w:t>bias’s</w:t>
            </w:r>
            <w:proofErr w:type="gramEnd"/>
            <w:r>
              <w:rPr>
                <w:rFonts w:ascii="Times New Roman" w:hAnsi="Times New Roman" w:cs="Times New Roman"/>
                <w:sz w:val="20"/>
                <w:szCs w:val="20"/>
              </w:rPr>
              <w:t xml:space="preserve"> within my self as my career develops and I discover more about myself and beliefs. I think this new knowledge will also help me to also educate others and spot unconscious bias in other people. This will enhance my practice as a nurse because I will be able to give judgment free, patient centered care to my patients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promote this type of care to others around me. </w:t>
            </w:r>
          </w:p>
          <w:p w14:paraId="4A99969E" w14:textId="77671614" w:rsidR="00CF68DB" w:rsidRPr="007422BF" w:rsidRDefault="00CF68DB">
            <w:pPr>
              <w:rPr>
                <w:rFonts w:ascii="Times New Roman" w:hAnsi="Times New Roman" w:cs="Times New Roman"/>
                <w:sz w:val="20"/>
                <w:szCs w:val="20"/>
              </w:rPr>
            </w:pPr>
            <w:r>
              <w:rPr>
                <w:rFonts w:ascii="Times New Roman" w:hAnsi="Times New Roman" w:cs="Times New Roman"/>
                <w:sz w:val="20"/>
                <w:szCs w:val="20"/>
              </w:rPr>
              <w:lastRenderedPageBreak/>
              <w:t xml:space="preserve">Something that will help me to continue to develop this knowledge would be seeking out my research on how to manage unconscious bias. </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7F920B86" w14:textId="2243CEB5" w:rsidR="00D45B8C" w:rsidRPr="007422BF" w:rsidRDefault="00EB4137">
            <w:pPr>
              <w:rPr>
                <w:rFonts w:ascii="Times New Roman" w:hAnsi="Times New Roman" w:cs="Times New Roman"/>
                <w:sz w:val="20"/>
                <w:szCs w:val="20"/>
              </w:rPr>
            </w:pPr>
            <w:r>
              <w:rPr>
                <w:rFonts w:ascii="Times New Roman" w:hAnsi="Times New Roman" w:cs="Times New Roman"/>
                <w:sz w:val="20"/>
                <w:szCs w:val="20"/>
              </w:rPr>
              <w:t xml:space="preserve">I think key concepts that where present in this scenario are </w:t>
            </w:r>
            <w:r w:rsidR="007E5583">
              <w:rPr>
                <w:rFonts w:ascii="Times New Roman" w:hAnsi="Times New Roman" w:cs="Times New Roman"/>
                <w:sz w:val="20"/>
                <w:szCs w:val="20"/>
              </w:rPr>
              <w:t xml:space="preserve">professional practice and person family centered care. In situations like mine professional practice is very important to remind yourself you are a healthcare provider, and you need to put your personal views or beliefs aside </w:t>
            </w:r>
            <w:proofErr w:type="gramStart"/>
            <w:r w:rsidR="007E5583">
              <w:rPr>
                <w:rFonts w:ascii="Times New Roman" w:hAnsi="Times New Roman" w:cs="Times New Roman"/>
                <w:sz w:val="20"/>
                <w:szCs w:val="20"/>
              </w:rPr>
              <w:t>in order to</w:t>
            </w:r>
            <w:proofErr w:type="gramEnd"/>
            <w:r w:rsidR="007E5583">
              <w:rPr>
                <w:rFonts w:ascii="Times New Roman" w:hAnsi="Times New Roman" w:cs="Times New Roman"/>
                <w:sz w:val="20"/>
                <w:szCs w:val="20"/>
              </w:rPr>
              <w:t xml:space="preserve"> care for patients in a nonjudgmental and unbiased mannerism. Family patient centered care is also used because its important to keep the patient’s wellbeing at the top priority and if a nurse maintained bias and judgment towards the patient it would hinder their health care experience </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37BD947B"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3FDA367F" w:rsidR="00B25073" w:rsidRPr="007422BF" w:rsidRDefault="00B25073" w:rsidP="00CF6D4E">
            <w:pPr>
              <w:rPr>
                <w:rFonts w:ascii="Times New Roman" w:hAnsi="Times New Roman" w:cs="Times New Roman"/>
                <w:sz w:val="20"/>
                <w:szCs w:val="20"/>
              </w:rPr>
            </w:pPr>
            <w:proofErr w:type="spellStart"/>
            <w:r w:rsidRPr="00B25073">
              <w:rPr>
                <w:rFonts w:ascii="Times New Roman" w:hAnsi="Times New Roman" w:cs="Times New Roman"/>
                <w:sz w:val="20"/>
                <w:szCs w:val="20"/>
              </w:rPr>
              <w:t>Prestia</w:t>
            </w:r>
            <w:proofErr w:type="spellEnd"/>
            <w:r w:rsidRPr="00B25073">
              <w:rPr>
                <w:rFonts w:ascii="Times New Roman" w:hAnsi="Times New Roman" w:cs="Times New Roman"/>
                <w:sz w:val="20"/>
                <w:szCs w:val="20"/>
              </w:rPr>
              <w:t>, A. S. (2019). Sabotaging success: Nurse Leader, 17(6), 561–564. https://doi.org/10.1016/j.mnl.2019.02.005</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686E20">
      <w:headerReference w:type="default" r:id="rId10"/>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E990" w14:textId="77777777" w:rsidR="00B124B6" w:rsidRDefault="00B124B6" w:rsidP="00D255D8">
      <w:pPr>
        <w:spacing w:after="0" w:line="240" w:lineRule="auto"/>
      </w:pPr>
      <w:r>
        <w:separator/>
      </w:r>
    </w:p>
  </w:endnote>
  <w:endnote w:type="continuationSeparator" w:id="0">
    <w:p w14:paraId="21D81ADC" w14:textId="77777777" w:rsidR="00B124B6" w:rsidRDefault="00B124B6" w:rsidP="00D255D8">
      <w:pPr>
        <w:spacing w:after="0" w:line="240" w:lineRule="auto"/>
      </w:pPr>
      <w:r>
        <w:continuationSeparator/>
      </w:r>
    </w:p>
  </w:endnote>
  <w:endnote w:type="continuationNotice" w:id="1">
    <w:p w14:paraId="477D7202" w14:textId="77777777" w:rsidR="00B124B6" w:rsidRDefault="00B12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w:t>
    </w:r>
    <w:proofErr w:type="spellStart"/>
    <w:r w:rsidRPr="00D255D8">
      <w:t>Deshaies</w:t>
    </w:r>
    <w:proofErr w:type="spellEnd"/>
    <w:r w:rsidRPr="00D255D8">
      <w:t xml:space="preserve">,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682E" w14:textId="77777777" w:rsidR="00B124B6" w:rsidRDefault="00B124B6" w:rsidP="00D255D8">
      <w:pPr>
        <w:spacing w:after="0" w:line="240" w:lineRule="auto"/>
      </w:pPr>
      <w:r>
        <w:separator/>
      </w:r>
    </w:p>
  </w:footnote>
  <w:footnote w:type="continuationSeparator" w:id="0">
    <w:p w14:paraId="37C06BF6" w14:textId="77777777" w:rsidR="00B124B6" w:rsidRDefault="00B124B6" w:rsidP="00D255D8">
      <w:pPr>
        <w:spacing w:after="0" w:line="240" w:lineRule="auto"/>
      </w:pPr>
      <w:r>
        <w:continuationSeparator/>
      </w:r>
    </w:p>
  </w:footnote>
  <w:footnote w:type="continuationNotice" w:id="1">
    <w:p w14:paraId="05FFB0D6" w14:textId="77777777" w:rsidR="00B124B6" w:rsidRDefault="00B12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884291425">
    <w:abstractNumId w:val="10"/>
  </w:num>
  <w:num w:numId="2" w16cid:durableId="472063387">
    <w:abstractNumId w:val="0"/>
  </w:num>
  <w:num w:numId="3" w16cid:durableId="454755805">
    <w:abstractNumId w:val="8"/>
  </w:num>
  <w:num w:numId="4" w16cid:durableId="1343046717">
    <w:abstractNumId w:val="9"/>
  </w:num>
  <w:num w:numId="5" w16cid:durableId="2001540153">
    <w:abstractNumId w:val="6"/>
  </w:num>
  <w:num w:numId="6" w16cid:durableId="963849789">
    <w:abstractNumId w:val="7"/>
  </w:num>
  <w:num w:numId="7" w16cid:durableId="7294340">
    <w:abstractNumId w:val="3"/>
  </w:num>
  <w:num w:numId="8" w16cid:durableId="1566377819">
    <w:abstractNumId w:val="15"/>
  </w:num>
  <w:num w:numId="9" w16cid:durableId="1759599463">
    <w:abstractNumId w:val="1"/>
  </w:num>
  <w:num w:numId="10" w16cid:durableId="416441623">
    <w:abstractNumId w:val="2"/>
  </w:num>
  <w:num w:numId="11" w16cid:durableId="1036352123">
    <w:abstractNumId w:val="11"/>
  </w:num>
  <w:num w:numId="12" w16cid:durableId="479345446">
    <w:abstractNumId w:val="14"/>
  </w:num>
  <w:num w:numId="13" w16cid:durableId="745306565">
    <w:abstractNumId w:val="5"/>
  </w:num>
  <w:num w:numId="14" w16cid:durableId="63644956">
    <w:abstractNumId w:val="13"/>
  </w:num>
  <w:num w:numId="15" w16cid:durableId="1927221910">
    <w:abstractNumId w:val="4"/>
  </w:num>
  <w:num w:numId="16" w16cid:durableId="435373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42EDE"/>
    <w:rsid w:val="002254DA"/>
    <w:rsid w:val="002B1A4C"/>
    <w:rsid w:val="002C6914"/>
    <w:rsid w:val="002D5FD6"/>
    <w:rsid w:val="00346203"/>
    <w:rsid w:val="003819F0"/>
    <w:rsid w:val="00392BC5"/>
    <w:rsid w:val="003D2769"/>
    <w:rsid w:val="003F2B48"/>
    <w:rsid w:val="0041372E"/>
    <w:rsid w:val="00426C65"/>
    <w:rsid w:val="004407FB"/>
    <w:rsid w:val="005715BA"/>
    <w:rsid w:val="00686E20"/>
    <w:rsid w:val="007422BF"/>
    <w:rsid w:val="00785D99"/>
    <w:rsid w:val="007D76E5"/>
    <w:rsid w:val="007E5583"/>
    <w:rsid w:val="007E6269"/>
    <w:rsid w:val="00806FF4"/>
    <w:rsid w:val="00834B50"/>
    <w:rsid w:val="00940F4B"/>
    <w:rsid w:val="00994D22"/>
    <w:rsid w:val="00A1205F"/>
    <w:rsid w:val="00A55BE6"/>
    <w:rsid w:val="00A67F2B"/>
    <w:rsid w:val="00A83ECB"/>
    <w:rsid w:val="00A90333"/>
    <w:rsid w:val="00AD1772"/>
    <w:rsid w:val="00B124B6"/>
    <w:rsid w:val="00B25073"/>
    <w:rsid w:val="00B51E95"/>
    <w:rsid w:val="00B74F69"/>
    <w:rsid w:val="00C25D63"/>
    <w:rsid w:val="00C64200"/>
    <w:rsid w:val="00CF68DB"/>
    <w:rsid w:val="00CF6D4E"/>
    <w:rsid w:val="00D255D8"/>
    <w:rsid w:val="00D45B8C"/>
    <w:rsid w:val="00DD2EE1"/>
    <w:rsid w:val="00E21349"/>
    <w:rsid w:val="00E21428"/>
    <w:rsid w:val="00EB4137"/>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abby van am</cp:lastModifiedBy>
  <cp:revision>3</cp:revision>
  <dcterms:created xsi:type="dcterms:W3CDTF">2020-07-02T18:15:00Z</dcterms:created>
  <dcterms:modified xsi:type="dcterms:W3CDTF">2022-11-30T21:47:00Z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