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61D475CA" w:rsidR="00994D22" w:rsidRPr="007422BF" w:rsidRDefault="00580662" w:rsidP="0FB05382">
            <w:pPr>
              <w:rPr>
                <w:rFonts w:ascii="Times New Roman" w:hAnsi="Times New Roman" w:cs="Times New Roman"/>
                <w:sz w:val="20"/>
                <w:szCs w:val="20"/>
              </w:rPr>
            </w:pPr>
            <w:r>
              <w:rPr>
                <w:rFonts w:ascii="Times New Roman" w:hAnsi="Times New Roman" w:cs="Times New Roman"/>
                <w:sz w:val="20"/>
                <w:szCs w:val="20"/>
              </w:rPr>
              <w:t xml:space="preserve">During my OR day I got the opportunity to follow my patient through pre op to surgery then to recovery. This experience gave me back a lot of the drive for nursing I once had. Of course, I still had so much drive before this experience but those feeling </w:t>
            </w:r>
            <w:proofErr w:type="gramStart"/>
            <w:r>
              <w:rPr>
                <w:rFonts w:ascii="Times New Roman" w:hAnsi="Times New Roman" w:cs="Times New Roman"/>
                <w:sz w:val="20"/>
                <w:szCs w:val="20"/>
              </w:rPr>
              <w:t>definitely got</w:t>
            </w:r>
            <w:proofErr w:type="gramEnd"/>
            <w:r>
              <w:rPr>
                <w:rFonts w:ascii="Times New Roman" w:hAnsi="Times New Roman" w:cs="Times New Roman"/>
                <w:sz w:val="20"/>
                <w:szCs w:val="20"/>
              </w:rPr>
              <w:t xml:space="preserve"> lost in the mists of mi</w:t>
            </w:r>
            <w:r w:rsidR="002A2FBE">
              <w:rPr>
                <w:rFonts w:ascii="Times New Roman" w:hAnsi="Times New Roman" w:cs="Times New Roman"/>
                <w:sz w:val="20"/>
                <w:szCs w:val="20"/>
              </w:rPr>
              <w:t>d</w:t>
            </w:r>
            <w:r>
              <w:rPr>
                <w:rFonts w:ascii="Times New Roman" w:hAnsi="Times New Roman" w:cs="Times New Roman"/>
                <w:sz w:val="20"/>
                <w:szCs w:val="20"/>
              </w:rPr>
              <w:t>terms and classes. Being able to follow my patient through the different hospital settings allowed me to get a better understanding of what the patients on 6 east go through to get there but also allowed me the opportunity to talk to nurses in different areas of the hospital and gain an understanding of their job and role. The doctors that were apart of my patient’s surgery were super friendly to me and taught me a lot about what was happening with my patient. This made me feel really welcomed in the OR and made me wish I could be there everyday. That experience made me feel so proud of the career I’m in</w:t>
            </w:r>
            <w:r w:rsidR="002A2FBE">
              <w:rPr>
                <w:rFonts w:ascii="Times New Roman" w:hAnsi="Times New Roman" w:cs="Times New Roman"/>
                <w:sz w:val="20"/>
                <w:szCs w:val="20"/>
              </w:rPr>
              <w:t>,</w:t>
            </w:r>
            <w:r>
              <w:rPr>
                <w:rFonts w:ascii="Times New Roman" w:hAnsi="Times New Roman" w:cs="Times New Roman"/>
                <w:sz w:val="20"/>
                <w:szCs w:val="20"/>
              </w:rPr>
              <w:t xml:space="preserve"> and so privileged to be apart of my patients experience and the </w:t>
            </w:r>
            <w:r w:rsidR="002A2FBE">
              <w:rPr>
                <w:rFonts w:ascii="Times New Roman" w:hAnsi="Times New Roman" w:cs="Times New Roman"/>
                <w:sz w:val="20"/>
                <w:szCs w:val="20"/>
              </w:rPr>
              <w:t>surgeons</w:t>
            </w:r>
            <w:r>
              <w:rPr>
                <w:rFonts w:ascii="Times New Roman" w:hAnsi="Times New Roman" w:cs="Times New Roman"/>
                <w:sz w:val="20"/>
                <w:szCs w:val="20"/>
              </w:rPr>
              <w:t xml:space="preserve"> OR for that day. I should have brought the scrub cap I got for my 12</w:t>
            </w:r>
            <w:r w:rsidRPr="00580662">
              <w:rPr>
                <w:rFonts w:ascii="Times New Roman" w:hAnsi="Times New Roman" w:cs="Times New Roman"/>
                <w:sz w:val="20"/>
                <w:szCs w:val="20"/>
                <w:vertAlign w:val="superscript"/>
              </w:rPr>
              <w:t>th</w:t>
            </w:r>
            <w:r>
              <w:rPr>
                <w:rFonts w:ascii="Times New Roman" w:hAnsi="Times New Roman" w:cs="Times New Roman"/>
                <w:sz w:val="20"/>
                <w:szCs w:val="20"/>
              </w:rPr>
              <w:t xml:space="preserve"> birthday. The experience was definitely surreal.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567EDCBE" w:rsidR="00994D22" w:rsidRPr="007422BF" w:rsidRDefault="00D25290">
            <w:pPr>
              <w:rPr>
                <w:rFonts w:ascii="Times New Roman" w:hAnsi="Times New Roman" w:cs="Times New Roman"/>
                <w:sz w:val="20"/>
                <w:szCs w:val="20"/>
              </w:rPr>
            </w:pPr>
            <w:r>
              <w:rPr>
                <w:rFonts w:ascii="Times New Roman" w:hAnsi="Times New Roman" w:cs="Times New Roman"/>
                <w:sz w:val="20"/>
                <w:szCs w:val="20"/>
              </w:rPr>
              <w:t>The main findings of the article are that with more modernized medicine you have much more day surgeries and patient turnover. This fast paste system doesn’t give patients much time to get situated and calm their nerves. On top of this nurses are giving many essential ta</w:t>
            </w:r>
            <w:r w:rsidR="00E12684">
              <w:rPr>
                <w:rFonts w:ascii="Times New Roman" w:hAnsi="Times New Roman" w:cs="Times New Roman"/>
                <w:sz w:val="20"/>
                <w:szCs w:val="20"/>
              </w:rPr>
              <w:t>sks</w:t>
            </w:r>
            <w:r>
              <w:rPr>
                <w:rFonts w:ascii="Times New Roman" w:hAnsi="Times New Roman" w:cs="Times New Roman"/>
                <w:sz w:val="20"/>
                <w:szCs w:val="20"/>
              </w:rPr>
              <w:t xml:space="preserve"> leaving them less time to care for their patients’ psychological needs and anxieties. The article states that studies have shown improvements in anxiety when the patient is given verbal affirmation</w:t>
            </w:r>
            <w:r w:rsidR="00E12684">
              <w:rPr>
                <w:rFonts w:ascii="Times New Roman" w:hAnsi="Times New Roman" w:cs="Times New Roman"/>
                <w:sz w:val="20"/>
                <w:szCs w:val="20"/>
              </w:rPr>
              <w:t>s</w:t>
            </w:r>
            <w:r>
              <w:rPr>
                <w:rFonts w:ascii="Times New Roman" w:hAnsi="Times New Roman" w:cs="Times New Roman"/>
                <w:sz w:val="20"/>
                <w:szCs w:val="20"/>
              </w:rPr>
              <w:t xml:space="preserve"> such as “the surgeon is great” or “we will be watching you very closely. Other strategies include promoting self efficacy and providing the patient with a therapeutic nurse patient relationship. The article talked about how having the presence or a nurse or family member during the whole process can lead to improved satisfaction in the experience and less pre op anxiety. I agree with everything the article had said. I felt that in the pre op setting there wasn’t really any nurses around</w:t>
            </w:r>
            <w:r w:rsidR="00E12684">
              <w:rPr>
                <w:rFonts w:ascii="Times New Roman" w:hAnsi="Times New Roman" w:cs="Times New Roman"/>
                <w:sz w:val="20"/>
                <w:szCs w:val="20"/>
              </w:rPr>
              <w:t>. I</w:t>
            </w:r>
            <w:r>
              <w:rPr>
                <w:rFonts w:ascii="Times New Roman" w:hAnsi="Times New Roman" w:cs="Times New Roman"/>
                <w:sz w:val="20"/>
                <w:szCs w:val="20"/>
              </w:rPr>
              <w:t xml:space="preserve">t was cold and very sterile. I think leaving a patient to wait for surgery in this environment can cause more anxiety. Seeing that the article had said having the same nurse from start to finish can help with the patient’s experience made me feel very good about the experience and the care and comfort I provided that patient. I also see how it </w:t>
            </w:r>
            <w:r>
              <w:rPr>
                <w:rFonts w:ascii="Times New Roman" w:hAnsi="Times New Roman" w:cs="Times New Roman"/>
                <w:sz w:val="20"/>
                <w:szCs w:val="20"/>
              </w:rPr>
              <w:lastRenderedPageBreak/>
              <w:t xml:space="preserve">can be difficult for nurses to find time to give that </w:t>
            </w:r>
            <w:r w:rsidR="00E12684">
              <w:rPr>
                <w:rFonts w:ascii="Times New Roman" w:hAnsi="Times New Roman" w:cs="Times New Roman"/>
                <w:sz w:val="20"/>
                <w:szCs w:val="20"/>
              </w:rPr>
              <w:t>one-on-one</w:t>
            </w:r>
            <w:r>
              <w:rPr>
                <w:rFonts w:ascii="Times New Roman" w:hAnsi="Times New Roman" w:cs="Times New Roman"/>
                <w:sz w:val="20"/>
                <w:szCs w:val="20"/>
              </w:rPr>
              <w:t xml:space="preserve"> care to comfort their patients but </w:t>
            </w:r>
            <w:r w:rsidR="00E12684">
              <w:rPr>
                <w:rFonts w:ascii="Times New Roman" w:hAnsi="Times New Roman" w:cs="Times New Roman"/>
                <w:sz w:val="20"/>
                <w:szCs w:val="20"/>
              </w:rPr>
              <w:t>I’m</w:t>
            </w:r>
            <w:r>
              <w:rPr>
                <w:rFonts w:ascii="Times New Roman" w:hAnsi="Times New Roman" w:cs="Times New Roman"/>
                <w:sz w:val="20"/>
                <w:szCs w:val="20"/>
              </w:rPr>
              <w:t xml:space="preserve"> unsure of a way to fix that issue.</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lastRenderedPageBreak/>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6D8D42BF" w14:textId="57FA1605" w:rsidR="00994D22" w:rsidRDefault="00580662" w:rsidP="0FB05382">
            <w:pPr>
              <w:rPr>
                <w:rFonts w:ascii="Times New Roman" w:hAnsi="Times New Roman" w:cs="Times New Roman"/>
                <w:color w:val="C00000"/>
                <w:sz w:val="20"/>
                <w:szCs w:val="20"/>
              </w:rPr>
            </w:pPr>
            <w:r>
              <w:rPr>
                <w:rFonts w:ascii="Times New Roman" w:hAnsi="Times New Roman" w:cs="Times New Roman"/>
                <w:color w:val="C00000"/>
                <w:sz w:val="20"/>
                <w:szCs w:val="20"/>
              </w:rPr>
              <w:t>I think for the patient</w:t>
            </w:r>
            <w:r w:rsidR="002A2FBE">
              <w:rPr>
                <w:rFonts w:ascii="Times New Roman" w:hAnsi="Times New Roman" w:cs="Times New Roman"/>
                <w:color w:val="C00000"/>
                <w:sz w:val="20"/>
                <w:szCs w:val="20"/>
              </w:rPr>
              <w:t xml:space="preserve">, </w:t>
            </w:r>
            <w:r>
              <w:rPr>
                <w:rFonts w:ascii="Times New Roman" w:hAnsi="Times New Roman" w:cs="Times New Roman"/>
                <w:color w:val="C00000"/>
                <w:sz w:val="20"/>
                <w:szCs w:val="20"/>
              </w:rPr>
              <w:t>having me be there through the pre op and post op stage of his surgery was very comforting. He expressed to me in pre op that he had a lot of anxiety going into the surgery</w:t>
            </w:r>
            <w:r w:rsidR="005314A6">
              <w:rPr>
                <w:rFonts w:ascii="Times New Roman" w:hAnsi="Times New Roman" w:cs="Times New Roman"/>
                <w:color w:val="C00000"/>
                <w:sz w:val="20"/>
                <w:szCs w:val="20"/>
              </w:rPr>
              <w:t xml:space="preserve">. He explained to me why he was getting the surgery and that when the doctor told him it would allow him to ride his bike again, he knew he needed to do it. The patient and I waited probably 25 minutes in pre op area, we were the first ones there and I felt very happy I was able to be </w:t>
            </w:r>
            <w:r w:rsidR="002A2FBE">
              <w:rPr>
                <w:rFonts w:ascii="Times New Roman" w:hAnsi="Times New Roman" w:cs="Times New Roman"/>
                <w:color w:val="C00000"/>
                <w:sz w:val="20"/>
                <w:szCs w:val="20"/>
              </w:rPr>
              <w:t>there</w:t>
            </w:r>
            <w:r w:rsidR="005314A6">
              <w:rPr>
                <w:rFonts w:ascii="Times New Roman" w:hAnsi="Times New Roman" w:cs="Times New Roman"/>
                <w:color w:val="C00000"/>
                <w:sz w:val="20"/>
                <w:szCs w:val="20"/>
              </w:rPr>
              <w:t xml:space="preserve"> to distract him and talk to him because if I wasn’t there he would have probably felt very alone. Finally, </w:t>
            </w:r>
            <w:r w:rsidR="005314A6" w:rsidRPr="005314A6">
              <w:rPr>
                <w:rFonts w:ascii="Times New Roman" w:hAnsi="Times New Roman" w:cs="Times New Roman"/>
                <w:color w:val="C00000"/>
                <w:sz w:val="20"/>
                <w:szCs w:val="20"/>
              </w:rPr>
              <w:t xml:space="preserve">when the doctors came to take </w:t>
            </w:r>
            <w:proofErr w:type="gramStart"/>
            <w:r w:rsidR="005314A6" w:rsidRPr="005314A6">
              <w:rPr>
                <w:rFonts w:ascii="Times New Roman" w:hAnsi="Times New Roman" w:cs="Times New Roman"/>
                <w:color w:val="C00000"/>
                <w:sz w:val="20"/>
                <w:szCs w:val="20"/>
              </w:rPr>
              <w:t>him</w:t>
            </w:r>
            <w:proofErr w:type="gramEnd"/>
            <w:r w:rsidR="005314A6" w:rsidRPr="005314A6">
              <w:rPr>
                <w:rFonts w:ascii="Times New Roman" w:hAnsi="Times New Roman" w:cs="Times New Roman"/>
                <w:color w:val="C00000"/>
                <w:sz w:val="20"/>
                <w:szCs w:val="20"/>
              </w:rPr>
              <w:t xml:space="preserve"> I could see him getting very anxious and he said “Oh gosh, its really happening” I reminded him that it will all be worth it when he is riding his bike again in a year or so. I</w:t>
            </w:r>
            <w:r w:rsidR="002A2FBE">
              <w:rPr>
                <w:rFonts w:ascii="Times New Roman" w:hAnsi="Times New Roman" w:cs="Times New Roman"/>
                <w:color w:val="C00000"/>
                <w:sz w:val="20"/>
                <w:szCs w:val="20"/>
              </w:rPr>
              <w:t xml:space="preserve">d </w:t>
            </w:r>
            <w:r w:rsidR="005314A6" w:rsidRPr="005314A6">
              <w:rPr>
                <w:rFonts w:ascii="Times New Roman" w:hAnsi="Times New Roman" w:cs="Times New Roman"/>
                <w:color w:val="C00000"/>
                <w:sz w:val="20"/>
                <w:szCs w:val="20"/>
              </w:rPr>
              <w:t>like to think that made him less anxious.</w:t>
            </w:r>
          </w:p>
          <w:p w14:paraId="71846170" w14:textId="6E566856" w:rsidR="005314A6" w:rsidRPr="007422BF" w:rsidRDefault="005314A6" w:rsidP="0FB05382">
            <w:pPr>
              <w:rPr>
                <w:rFonts w:ascii="Times New Roman" w:hAnsi="Times New Roman" w:cs="Times New Roman"/>
                <w:color w:val="C00000"/>
                <w:sz w:val="20"/>
                <w:szCs w:val="20"/>
              </w:rPr>
            </w:pPr>
            <w:r>
              <w:rPr>
                <w:rFonts w:ascii="Times New Roman" w:hAnsi="Times New Roman" w:cs="Times New Roman"/>
                <w:color w:val="C00000"/>
                <w:sz w:val="20"/>
                <w:szCs w:val="20"/>
              </w:rPr>
              <w:t xml:space="preserve">I also think that when the family knew Id be a constant person with him it gave them some comfort. I can imagine having a loved one go to surgery is definitely </w:t>
            </w:r>
            <w:proofErr w:type="gramStart"/>
            <w:r>
              <w:rPr>
                <w:rFonts w:ascii="Times New Roman" w:hAnsi="Times New Roman" w:cs="Times New Roman"/>
                <w:color w:val="C00000"/>
                <w:sz w:val="20"/>
                <w:szCs w:val="20"/>
              </w:rPr>
              <w:t>nerve</w:t>
            </w:r>
            <w:proofErr w:type="gramEnd"/>
            <w:r>
              <w:rPr>
                <w:rFonts w:ascii="Times New Roman" w:hAnsi="Times New Roman" w:cs="Times New Roman"/>
                <w:color w:val="C00000"/>
                <w:sz w:val="20"/>
                <w:szCs w:val="20"/>
              </w:rPr>
              <w:t xml:space="preserve"> racking and you probably feel very helpless. There wasn’t even a waiting room for his family to stay</w:t>
            </w:r>
            <w:r w:rsidR="002A2FBE">
              <w:rPr>
                <w:rFonts w:ascii="Times New Roman" w:hAnsi="Times New Roman" w:cs="Times New Roman"/>
                <w:color w:val="C00000"/>
                <w:sz w:val="20"/>
                <w:szCs w:val="20"/>
              </w:rPr>
              <w:t xml:space="preserve"> in</w:t>
            </w:r>
            <w:r>
              <w:rPr>
                <w:rFonts w:ascii="Times New Roman" w:hAnsi="Times New Roman" w:cs="Times New Roman"/>
                <w:color w:val="C00000"/>
                <w:sz w:val="20"/>
                <w:szCs w:val="20"/>
              </w:rPr>
              <w:t xml:space="preserve"> and get updates. I think getting this experience </w:t>
            </w:r>
            <w:proofErr w:type="gramStart"/>
            <w:r>
              <w:rPr>
                <w:rFonts w:ascii="Times New Roman" w:hAnsi="Times New Roman" w:cs="Times New Roman"/>
                <w:color w:val="C00000"/>
                <w:sz w:val="20"/>
                <w:szCs w:val="20"/>
              </w:rPr>
              <w:t>definitely helped</w:t>
            </w:r>
            <w:proofErr w:type="gramEnd"/>
            <w:r>
              <w:rPr>
                <w:rFonts w:ascii="Times New Roman" w:hAnsi="Times New Roman" w:cs="Times New Roman"/>
                <w:color w:val="C00000"/>
                <w:sz w:val="20"/>
                <w:szCs w:val="20"/>
              </w:rPr>
              <w:t xml:space="preserve"> me to understand the point of view of the patient and the family going through this experience.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1E2249A" w14:textId="77777777" w:rsidR="00994D22" w:rsidRDefault="00E12684">
            <w:pPr>
              <w:rPr>
                <w:rFonts w:ascii="Times New Roman" w:hAnsi="Times New Roman" w:cs="Times New Roman"/>
                <w:sz w:val="20"/>
                <w:szCs w:val="20"/>
              </w:rPr>
            </w:pPr>
            <w:r>
              <w:rPr>
                <w:rFonts w:ascii="Times New Roman" w:hAnsi="Times New Roman" w:cs="Times New Roman"/>
                <w:sz w:val="20"/>
                <w:szCs w:val="20"/>
              </w:rPr>
              <w:t xml:space="preserve">I learned a lot from this clinical experience. I learned about the process of coming in for surgery, going to surgery and then being in recovery. I also learned about the different nursing roles in all these settings. Seeing the scrub nurses in the OR was also very cool from a nursing students’ perspective. The anesthesiologist talked to me lots about how the epidural works, why they are giving the patient certain meds and what to do if there’s adverse effects. </w:t>
            </w:r>
          </w:p>
          <w:p w14:paraId="36C69505" w14:textId="51D468F1" w:rsidR="00E12684" w:rsidRPr="007422BF" w:rsidRDefault="00E12684">
            <w:pPr>
              <w:rPr>
                <w:rFonts w:ascii="Times New Roman" w:hAnsi="Times New Roman" w:cs="Times New Roman"/>
                <w:sz w:val="20"/>
                <w:szCs w:val="20"/>
              </w:rPr>
            </w:pPr>
            <w:r>
              <w:rPr>
                <w:rFonts w:ascii="Times New Roman" w:hAnsi="Times New Roman" w:cs="Times New Roman"/>
                <w:sz w:val="20"/>
                <w:szCs w:val="20"/>
              </w:rPr>
              <w:t xml:space="preserve">I also learned a lot from my experience and the article about the patients experience and the </w:t>
            </w:r>
            <w:proofErr w:type="gramStart"/>
            <w:r>
              <w:rPr>
                <w:rFonts w:ascii="Times New Roman" w:hAnsi="Times New Roman" w:cs="Times New Roman"/>
                <w:sz w:val="20"/>
                <w:szCs w:val="20"/>
              </w:rPr>
              <w:t>nurses</w:t>
            </w:r>
            <w:proofErr w:type="gramEnd"/>
            <w:r>
              <w:rPr>
                <w:rFonts w:ascii="Times New Roman" w:hAnsi="Times New Roman" w:cs="Times New Roman"/>
                <w:sz w:val="20"/>
                <w:szCs w:val="20"/>
              </w:rPr>
              <w:t xml:space="preserve"> role in providing that therapeutic relationship such as anxiety reduction techniques and the importance of making sure the patient is calm and comfortable before surgery. I think in this clinical experience I </w:t>
            </w:r>
            <w:r>
              <w:rPr>
                <w:rFonts w:ascii="Times New Roman" w:hAnsi="Times New Roman" w:cs="Times New Roman"/>
                <w:sz w:val="20"/>
                <w:szCs w:val="20"/>
              </w:rPr>
              <w:lastRenderedPageBreak/>
              <w:t xml:space="preserve">could have asked the surgeon more questions. I did ask a few </w:t>
            </w:r>
            <w:r w:rsidR="002A2FBE">
              <w:rPr>
                <w:rFonts w:ascii="Times New Roman" w:hAnsi="Times New Roman" w:cs="Times New Roman"/>
                <w:sz w:val="20"/>
                <w:szCs w:val="20"/>
              </w:rPr>
              <w:t>questions,</w:t>
            </w:r>
            <w:r>
              <w:rPr>
                <w:rFonts w:ascii="Times New Roman" w:hAnsi="Times New Roman" w:cs="Times New Roman"/>
                <w:sz w:val="20"/>
                <w:szCs w:val="20"/>
              </w:rPr>
              <w:t xml:space="preserve"> but I was quite nervous to ask the surgeon questions </w:t>
            </w:r>
            <w:r w:rsidR="002A2FBE">
              <w:rPr>
                <w:rFonts w:ascii="Times New Roman" w:hAnsi="Times New Roman" w:cs="Times New Roman"/>
                <w:sz w:val="20"/>
                <w:szCs w:val="20"/>
              </w:rPr>
              <w:t>because I didn’t want to interrupt or distract him. Oh, and I could have also</w:t>
            </w:r>
            <w:r>
              <w:rPr>
                <w:rFonts w:ascii="Times New Roman" w:hAnsi="Times New Roman" w:cs="Times New Roman"/>
                <w:sz w:val="20"/>
                <w:szCs w:val="20"/>
              </w:rPr>
              <w:t xml:space="preserve"> gotten the </w:t>
            </w:r>
            <w:r w:rsidR="002A2FBE">
              <w:rPr>
                <w:rFonts w:ascii="Times New Roman" w:hAnsi="Times New Roman" w:cs="Times New Roman"/>
                <w:sz w:val="20"/>
                <w:szCs w:val="20"/>
              </w:rPr>
              <w:t xml:space="preserve">better fitting </w:t>
            </w:r>
            <w:r>
              <w:rPr>
                <w:rFonts w:ascii="Times New Roman" w:hAnsi="Times New Roman" w:cs="Times New Roman"/>
                <w:sz w:val="20"/>
                <w:szCs w:val="20"/>
              </w:rPr>
              <w:t xml:space="preserve">scrubs.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399FEC09" w:rsidR="00994D22" w:rsidRPr="007422BF" w:rsidRDefault="002A2FBE">
            <w:pPr>
              <w:rPr>
                <w:rFonts w:ascii="Times New Roman" w:hAnsi="Times New Roman" w:cs="Times New Roman"/>
                <w:sz w:val="20"/>
                <w:szCs w:val="20"/>
              </w:rPr>
            </w:pPr>
            <w:r>
              <w:rPr>
                <w:rFonts w:ascii="Times New Roman" w:hAnsi="Times New Roman" w:cs="Times New Roman"/>
                <w:sz w:val="20"/>
                <w:szCs w:val="20"/>
              </w:rPr>
              <w:t xml:space="preserve">I know this new knowledge will help me to have a better understanding of what my patients on 6 east have been through to get there. It helps me to understand their anxieties and ways to build relationships with them. I will definitely implement giving patients affirmations about their care to help ease their anxieties. Resources that can help me develop this is my professional nursing class, and therefore the textbook that goes with that class. I can also talk to seasoned nurses about what they feel works for them in gaining and maintaining therapeutic relationships with patients.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A082F12" w14:textId="562694B0" w:rsidR="00D45B8C" w:rsidRDefault="00A031BE">
            <w:pPr>
              <w:rPr>
                <w:rFonts w:ascii="Times New Roman" w:hAnsi="Times New Roman" w:cs="Times New Roman"/>
                <w:sz w:val="20"/>
                <w:szCs w:val="20"/>
              </w:rPr>
            </w:pPr>
            <w:r>
              <w:rPr>
                <w:rFonts w:ascii="Times New Roman" w:hAnsi="Times New Roman" w:cs="Times New Roman"/>
                <w:sz w:val="20"/>
                <w:szCs w:val="20"/>
              </w:rPr>
              <w:t xml:space="preserve">I think my experience was </w:t>
            </w:r>
            <w:proofErr w:type="gramStart"/>
            <w:r>
              <w:rPr>
                <w:rFonts w:ascii="Times New Roman" w:hAnsi="Times New Roman" w:cs="Times New Roman"/>
                <w:sz w:val="20"/>
                <w:szCs w:val="20"/>
              </w:rPr>
              <w:t>definitely influenced</w:t>
            </w:r>
            <w:proofErr w:type="gramEnd"/>
            <w:r>
              <w:rPr>
                <w:rFonts w:ascii="Times New Roman" w:hAnsi="Times New Roman" w:cs="Times New Roman"/>
                <w:sz w:val="20"/>
                <w:szCs w:val="20"/>
              </w:rPr>
              <w:t xml:space="preserve"> by patient family centered care. Getting to be with patient for the whole process really made me feel for him and his family. I wanted to provide him with the best care I could possibly give. I also felt that even after leaving the hospital I found myself hoping he was doing alright and having to deal with the fact that Ill never know what happened to him. </w:t>
            </w:r>
          </w:p>
          <w:p w14:paraId="7F920B86" w14:textId="7DA15B91" w:rsidR="00A031BE" w:rsidRPr="007422BF" w:rsidRDefault="00A031BE">
            <w:pPr>
              <w:rPr>
                <w:rFonts w:ascii="Times New Roman" w:hAnsi="Times New Roman" w:cs="Times New Roman"/>
                <w:sz w:val="20"/>
                <w:szCs w:val="20"/>
              </w:rPr>
            </w:pPr>
            <w:r>
              <w:rPr>
                <w:rFonts w:ascii="Times New Roman" w:hAnsi="Times New Roman" w:cs="Times New Roman"/>
                <w:sz w:val="20"/>
                <w:szCs w:val="20"/>
              </w:rPr>
              <w:t xml:space="preserve">I also think I was influenced by professional practice. Being in all the different hospital settings I had to be very professional and represent myself well. Being in the OR especially I had to be very professional and make sure I didn’t get in the way of what the nurses and doctors were doing.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5E7DBFEE"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0AE31BA2" w:rsidR="002A2FBE" w:rsidRPr="007422BF" w:rsidRDefault="002A2FBE" w:rsidP="00CF6D4E">
            <w:pPr>
              <w:rPr>
                <w:rFonts w:ascii="Times New Roman" w:hAnsi="Times New Roman" w:cs="Times New Roman"/>
                <w:sz w:val="20"/>
                <w:szCs w:val="20"/>
              </w:rPr>
            </w:pPr>
            <w:r w:rsidRPr="002A2FBE">
              <w:rPr>
                <w:rFonts w:ascii="Times New Roman" w:hAnsi="Times New Roman" w:cs="Times New Roman"/>
                <w:sz w:val="20"/>
                <w:szCs w:val="20"/>
              </w:rPr>
              <w:t>Mitchell, M. (2000). Nursing intervention for pre-operative anxiety. Nursing Standard (through 2013), 14(37), 40-3. https://ledproxy2.uwindsor.ca/login?url=https://www-proquest-com.ledproxy2.uwindsor.ca/scholarly-journals/nursing-intervention-pre-operative-anxiety/docview/219816385/se-2</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3A8D" w14:textId="77777777" w:rsidR="001C7167" w:rsidRDefault="001C7167" w:rsidP="00D255D8">
      <w:pPr>
        <w:spacing w:after="0" w:line="240" w:lineRule="auto"/>
      </w:pPr>
      <w:r>
        <w:separator/>
      </w:r>
    </w:p>
  </w:endnote>
  <w:endnote w:type="continuationSeparator" w:id="0">
    <w:p w14:paraId="4BCC6FF7" w14:textId="77777777" w:rsidR="001C7167" w:rsidRDefault="001C7167" w:rsidP="00D255D8">
      <w:pPr>
        <w:spacing w:after="0" w:line="240" w:lineRule="auto"/>
      </w:pPr>
      <w:r>
        <w:continuationSeparator/>
      </w:r>
    </w:p>
  </w:endnote>
  <w:endnote w:type="continuationNotice" w:id="1">
    <w:p w14:paraId="28BA3DBA" w14:textId="77777777" w:rsidR="001C7167" w:rsidRDefault="001C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F106" w14:textId="77777777" w:rsidR="001C7167" w:rsidRDefault="001C7167" w:rsidP="00D255D8">
      <w:pPr>
        <w:spacing w:after="0" w:line="240" w:lineRule="auto"/>
      </w:pPr>
      <w:r>
        <w:separator/>
      </w:r>
    </w:p>
  </w:footnote>
  <w:footnote w:type="continuationSeparator" w:id="0">
    <w:p w14:paraId="52CDD832" w14:textId="77777777" w:rsidR="001C7167" w:rsidRDefault="001C7167" w:rsidP="00D255D8">
      <w:pPr>
        <w:spacing w:after="0" w:line="240" w:lineRule="auto"/>
      </w:pPr>
      <w:r>
        <w:continuationSeparator/>
      </w:r>
    </w:p>
  </w:footnote>
  <w:footnote w:type="continuationNotice" w:id="1">
    <w:p w14:paraId="1CBF6F35" w14:textId="77777777" w:rsidR="001C7167" w:rsidRDefault="001C7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497888836">
    <w:abstractNumId w:val="10"/>
  </w:num>
  <w:num w:numId="2" w16cid:durableId="1704092942">
    <w:abstractNumId w:val="0"/>
  </w:num>
  <w:num w:numId="3" w16cid:durableId="1997146986">
    <w:abstractNumId w:val="8"/>
  </w:num>
  <w:num w:numId="4" w16cid:durableId="1191843732">
    <w:abstractNumId w:val="9"/>
  </w:num>
  <w:num w:numId="5" w16cid:durableId="419371020">
    <w:abstractNumId w:val="6"/>
  </w:num>
  <w:num w:numId="6" w16cid:durableId="353652993">
    <w:abstractNumId w:val="7"/>
  </w:num>
  <w:num w:numId="7" w16cid:durableId="1345134053">
    <w:abstractNumId w:val="3"/>
  </w:num>
  <w:num w:numId="8" w16cid:durableId="892934768">
    <w:abstractNumId w:val="15"/>
  </w:num>
  <w:num w:numId="9" w16cid:durableId="2121533787">
    <w:abstractNumId w:val="1"/>
  </w:num>
  <w:num w:numId="10" w16cid:durableId="1882671088">
    <w:abstractNumId w:val="2"/>
  </w:num>
  <w:num w:numId="11" w16cid:durableId="323047747">
    <w:abstractNumId w:val="11"/>
  </w:num>
  <w:num w:numId="12" w16cid:durableId="679280933">
    <w:abstractNumId w:val="14"/>
  </w:num>
  <w:num w:numId="13" w16cid:durableId="842087466">
    <w:abstractNumId w:val="5"/>
  </w:num>
  <w:num w:numId="14" w16cid:durableId="863330228">
    <w:abstractNumId w:val="13"/>
  </w:num>
  <w:num w:numId="15" w16cid:durableId="1046181815">
    <w:abstractNumId w:val="4"/>
  </w:num>
  <w:num w:numId="16" w16cid:durableId="965235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1C7167"/>
    <w:rsid w:val="002254DA"/>
    <w:rsid w:val="002A2FBE"/>
    <w:rsid w:val="002B1A4C"/>
    <w:rsid w:val="002C6914"/>
    <w:rsid w:val="002D5FD6"/>
    <w:rsid w:val="00346203"/>
    <w:rsid w:val="003819F0"/>
    <w:rsid w:val="003B5F75"/>
    <w:rsid w:val="003D2769"/>
    <w:rsid w:val="003F2B48"/>
    <w:rsid w:val="0041372E"/>
    <w:rsid w:val="00426C65"/>
    <w:rsid w:val="004407FB"/>
    <w:rsid w:val="005314A6"/>
    <w:rsid w:val="005715BA"/>
    <w:rsid w:val="00580662"/>
    <w:rsid w:val="00686E20"/>
    <w:rsid w:val="007422BF"/>
    <w:rsid w:val="00785D99"/>
    <w:rsid w:val="007D76E5"/>
    <w:rsid w:val="00806FF4"/>
    <w:rsid w:val="00834B50"/>
    <w:rsid w:val="00940F4B"/>
    <w:rsid w:val="00994D22"/>
    <w:rsid w:val="00A031BE"/>
    <w:rsid w:val="00A1205F"/>
    <w:rsid w:val="00A55BE6"/>
    <w:rsid w:val="00A83ECB"/>
    <w:rsid w:val="00A90333"/>
    <w:rsid w:val="00AD1772"/>
    <w:rsid w:val="00B51E95"/>
    <w:rsid w:val="00B74F69"/>
    <w:rsid w:val="00C25D63"/>
    <w:rsid w:val="00C64200"/>
    <w:rsid w:val="00CF6D4E"/>
    <w:rsid w:val="00D25290"/>
    <w:rsid w:val="00D255D8"/>
    <w:rsid w:val="00D45B8C"/>
    <w:rsid w:val="00DD2EE1"/>
    <w:rsid w:val="00E12684"/>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Amerongen</cp:lastModifiedBy>
  <cp:revision>4</cp:revision>
  <dcterms:created xsi:type="dcterms:W3CDTF">2020-07-02T18:15:00Z</dcterms:created>
  <dcterms:modified xsi:type="dcterms:W3CDTF">2022-11-03T02:08:00Z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