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1661" w14:textId="4017177C"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5D8EEA99"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3800AEBE" w14:textId="5A76F9C0" w:rsidR="00994D22" w:rsidRPr="007422BF" w:rsidRDefault="00576ABE" w:rsidP="0FB05382">
            <w:pPr>
              <w:rPr>
                <w:rFonts w:ascii="Times New Roman" w:hAnsi="Times New Roman" w:cs="Times New Roman"/>
                <w:sz w:val="20"/>
                <w:szCs w:val="20"/>
              </w:rPr>
            </w:pPr>
            <w:r>
              <w:rPr>
                <w:rFonts w:ascii="Times New Roman" w:hAnsi="Times New Roman" w:cs="Times New Roman"/>
                <w:sz w:val="20"/>
                <w:szCs w:val="20"/>
              </w:rPr>
              <w:t>When talking to my patient about her psychosocial history she brought up she had 4 sons but one passed away. My reaction to her was “</w:t>
            </w:r>
            <w:proofErr w:type="spellStart"/>
            <w:r>
              <w:rPr>
                <w:rFonts w:ascii="Times New Roman" w:hAnsi="Times New Roman" w:cs="Times New Roman"/>
                <w:sz w:val="20"/>
                <w:szCs w:val="20"/>
              </w:rPr>
              <w:t>im</w:t>
            </w:r>
            <w:proofErr w:type="spellEnd"/>
            <w:r>
              <w:rPr>
                <w:rFonts w:ascii="Times New Roman" w:hAnsi="Times New Roman" w:cs="Times New Roman"/>
                <w:sz w:val="20"/>
                <w:szCs w:val="20"/>
              </w:rPr>
              <w:t xml:space="preserve"> so sorry” and I didn’t really know what else to say. </w:t>
            </w:r>
            <w:r w:rsidR="002576BD">
              <w:rPr>
                <w:rFonts w:ascii="Times New Roman" w:hAnsi="Times New Roman" w:cs="Times New Roman"/>
                <w:sz w:val="20"/>
                <w:szCs w:val="20"/>
              </w:rPr>
              <w:t xml:space="preserve">I felt as thought my response wasn’t maybe the best one and </w:t>
            </w:r>
            <w:r w:rsidR="0069405D">
              <w:rPr>
                <w:rFonts w:ascii="Times New Roman" w:hAnsi="Times New Roman" w:cs="Times New Roman"/>
                <w:sz w:val="20"/>
                <w:szCs w:val="20"/>
              </w:rPr>
              <w:t>afterwards,</w:t>
            </w:r>
            <w:r w:rsidR="002576BD">
              <w:rPr>
                <w:rFonts w:ascii="Times New Roman" w:hAnsi="Times New Roman" w:cs="Times New Roman"/>
                <w:sz w:val="20"/>
                <w:szCs w:val="20"/>
              </w:rPr>
              <w:t xml:space="preserve"> I was overthinking and feeling anxiety that I may have offended her or not said that right thing. This made me </w:t>
            </w:r>
            <w:r w:rsidR="0069405D">
              <w:rPr>
                <w:rFonts w:ascii="Times New Roman" w:hAnsi="Times New Roman" w:cs="Times New Roman"/>
                <w:sz w:val="20"/>
                <w:szCs w:val="20"/>
              </w:rPr>
              <w:t xml:space="preserve">feel like I should research better communication techniques and best ways to communicate with someone about a touchy subject such as grief. </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5CEE1981" w14:textId="1C2EFE11" w:rsidR="00994D22" w:rsidRPr="007422BF" w:rsidRDefault="005E1045">
            <w:pPr>
              <w:rPr>
                <w:rFonts w:ascii="Times New Roman" w:hAnsi="Times New Roman" w:cs="Times New Roman"/>
                <w:sz w:val="20"/>
                <w:szCs w:val="20"/>
              </w:rPr>
            </w:pPr>
            <w:r>
              <w:rPr>
                <w:rFonts w:ascii="Times New Roman" w:hAnsi="Times New Roman" w:cs="Times New Roman"/>
                <w:sz w:val="20"/>
                <w:szCs w:val="20"/>
              </w:rPr>
              <w:t xml:space="preserve">This scholarly article focused on the experience of grieving widows and what they found to be helping and not helpful in their grieving process. It also touched on the importance of nurses in educating families and others on what can </w:t>
            </w:r>
            <w:r w:rsidR="00ED25BA">
              <w:rPr>
                <w:rFonts w:ascii="Times New Roman" w:hAnsi="Times New Roman" w:cs="Times New Roman"/>
                <w:sz w:val="20"/>
                <w:szCs w:val="20"/>
              </w:rPr>
              <w:t>help</w:t>
            </w:r>
            <w:r>
              <w:rPr>
                <w:rFonts w:ascii="Times New Roman" w:hAnsi="Times New Roman" w:cs="Times New Roman"/>
                <w:sz w:val="20"/>
                <w:szCs w:val="20"/>
              </w:rPr>
              <w:t xml:space="preserve"> someone who is grieving. The key points were that unsolicited advice was a major event that made widows feel upset or offended, avoidance from friends and family towards the widow was an often occurrence that negatively impacted the grief process, as well as avoidance of mentioning their deceased husbands which made the widows feel uneasy, as though “it never even happened, like they didn’t exist”</w:t>
            </w:r>
            <w:r w:rsidR="00ED25BA">
              <w:rPr>
                <w:rFonts w:ascii="Times New Roman" w:hAnsi="Times New Roman" w:cs="Times New Roman"/>
                <w:sz w:val="20"/>
                <w:szCs w:val="20"/>
              </w:rPr>
              <w:t>. (</w:t>
            </w:r>
            <w:r w:rsidR="00ED25BA" w:rsidRPr="00ED25BA">
              <w:rPr>
                <w:rFonts w:ascii="Times New Roman" w:hAnsi="Times New Roman" w:cs="Times New Roman"/>
                <w:sz w:val="20"/>
                <w:szCs w:val="20"/>
              </w:rPr>
              <w:t>Scannell-</w:t>
            </w:r>
            <w:proofErr w:type="spellStart"/>
            <w:r w:rsidR="00ED25BA" w:rsidRPr="00ED25BA">
              <w:rPr>
                <w:rFonts w:ascii="Times New Roman" w:hAnsi="Times New Roman" w:cs="Times New Roman"/>
                <w:sz w:val="20"/>
                <w:szCs w:val="20"/>
              </w:rPr>
              <w:t>Desch</w:t>
            </w:r>
            <w:proofErr w:type="spellEnd"/>
            <w:r w:rsidR="00ED25BA" w:rsidRPr="00ED25BA">
              <w:rPr>
                <w:rFonts w:ascii="Times New Roman" w:hAnsi="Times New Roman" w:cs="Times New Roman"/>
                <w:sz w:val="20"/>
                <w:szCs w:val="20"/>
              </w:rPr>
              <w:t xml:space="preserve"> E</w:t>
            </w:r>
            <w:r w:rsidR="00ED25BA">
              <w:rPr>
                <w:rFonts w:ascii="Times New Roman" w:hAnsi="Times New Roman" w:cs="Times New Roman"/>
                <w:sz w:val="20"/>
                <w:szCs w:val="20"/>
              </w:rPr>
              <w:t xml:space="preserve">, </w:t>
            </w:r>
            <w:r w:rsidR="00ED25BA" w:rsidRPr="00ED25BA">
              <w:rPr>
                <w:rFonts w:ascii="Times New Roman" w:hAnsi="Times New Roman" w:cs="Times New Roman"/>
                <w:sz w:val="20"/>
                <w:szCs w:val="20"/>
              </w:rPr>
              <w:t>2005</w:t>
            </w:r>
            <w:r w:rsidR="00ED25BA">
              <w:rPr>
                <w:rFonts w:ascii="Times New Roman" w:hAnsi="Times New Roman" w:cs="Times New Roman"/>
                <w:sz w:val="20"/>
                <w:szCs w:val="20"/>
              </w:rPr>
              <w:t xml:space="preserve">) I feel that this article relates to my journal entry because even though the findings are based on widows, the information can still be applied to people who have had a loss in their life. The article made me realize that maybe trying to change the subject and not discuss further into that aspect of someone’s life can </w:t>
            </w:r>
            <w:proofErr w:type="gramStart"/>
            <w:r w:rsidR="00ED25BA">
              <w:rPr>
                <w:rFonts w:ascii="Times New Roman" w:hAnsi="Times New Roman" w:cs="Times New Roman"/>
                <w:sz w:val="20"/>
                <w:szCs w:val="20"/>
              </w:rPr>
              <w:t>actually do</w:t>
            </w:r>
            <w:proofErr w:type="gramEnd"/>
            <w:r w:rsidR="00ED25BA">
              <w:rPr>
                <w:rFonts w:ascii="Times New Roman" w:hAnsi="Times New Roman" w:cs="Times New Roman"/>
                <w:sz w:val="20"/>
                <w:szCs w:val="20"/>
              </w:rPr>
              <w:t xml:space="preserve"> harm and make them feel like that experience isn’t something that should be talked about. </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lastRenderedPageBreak/>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lastRenderedPageBreak/>
              <w:t xml:space="preserve">perspectives that should be 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71846170" w14:textId="390AA061" w:rsidR="00994D22" w:rsidRPr="007422BF" w:rsidRDefault="00634154" w:rsidP="0FB05382">
            <w:pPr>
              <w:rPr>
                <w:rFonts w:ascii="Times New Roman" w:hAnsi="Times New Roman" w:cs="Times New Roman"/>
                <w:color w:val="C00000"/>
                <w:sz w:val="20"/>
                <w:szCs w:val="20"/>
              </w:rPr>
            </w:pPr>
            <w:r>
              <w:rPr>
                <w:rFonts w:ascii="Times New Roman" w:hAnsi="Times New Roman" w:cs="Times New Roman"/>
                <w:color w:val="C00000"/>
                <w:sz w:val="20"/>
                <w:szCs w:val="20"/>
              </w:rPr>
              <w:lastRenderedPageBreak/>
              <w:t xml:space="preserve">I think as the client I would want My nurse to </w:t>
            </w:r>
            <w:r w:rsidR="00C0394D">
              <w:rPr>
                <w:rFonts w:ascii="Times New Roman" w:hAnsi="Times New Roman" w:cs="Times New Roman"/>
                <w:color w:val="C00000"/>
                <w:sz w:val="20"/>
                <w:szCs w:val="20"/>
              </w:rPr>
              <w:t>be</w:t>
            </w:r>
            <w:r>
              <w:rPr>
                <w:rFonts w:ascii="Times New Roman" w:hAnsi="Times New Roman" w:cs="Times New Roman"/>
                <w:color w:val="C00000"/>
                <w:sz w:val="20"/>
                <w:szCs w:val="20"/>
              </w:rPr>
              <w:t xml:space="preserve"> open, and trustworthy and someone who comes across as easy to talk to. I also feel that social work </w:t>
            </w:r>
            <w:r>
              <w:rPr>
                <w:rFonts w:ascii="Times New Roman" w:hAnsi="Times New Roman" w:cs="Times New Roman"/>
                <w:color w:val="C00000"/>
                <w:sz w:val="20"/>
                <w:szCs w:val="20"/>
              </w:rPr>
              <w:lastRenderedPageBreak/>
              <w:t xml:space="preserve">would hope the nurse can gain that sense of comfortability with a patient so that they do have someone on their healthcare team that they can feel comfortable enough to talk with. </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36C69505" w14:textId="52DC8FEF" w:rsidR="00994D22" w:rsidRPr="007422BF" w:rsidRDefault="00ED25BA">
            <w:pPr>
              <w:rPr>
                <w:rFonts w:ascii="Times New Roman" w:hAnsi="Times New Roman" w:cs="Times New Roman"/>
                <w:sz w:val="20"/>
                <w:szCs w:val="20"/>
              </w:rPr>
            </w:pPr>
            <w:r>
              <w:rPr>
                <w:rFonts w:ascii="Times New Roman" w:hAnsi="Times New Roman" w:cs="Times New Roman"/>
                <w:sz w:val="20"/>
                <w:szCs w:val="20"/>
              </w:rPr>
              <w:t xml:space="preserve">I think I learned that the best thing to do is discuss </w:t>
            </w:r>
            <w:r w:rsidR="0035586F">
              <w:rPr>
                <w:rFonts w:ascii="Times New Roman" w:hAnsi="Times New Roman" w:cs="Times New Roman"/>
                <w:sz w:val="20"/>
                <w:szCs w:val="20"/>
              </w:rPr>
              <w:t>someone’s</w:t>
            </w:r>
            <w:r>
              <w:rPr>
                <w:rFonts w:ascii="Times New Roman" w:hAnsi="Times New Roman" w:cs="Times New Roman"/>
                <w:sz w:val="20"/>
                <w:szCs w:val="20"/>
              </w:rPr>
              <w:t xml:space="preserve"> </w:t>
            </w:r>
            <w:r w:rsidR="0035586F">
              <w:rPr>
                <w:rFonts w:ascii="Times New Roman" w:hAnsi="Times New Roman" w:cs="Times New Roman"/>
                <w:sz w:val="20"/>
                <w:szCs w:val="20"/>
              </w:rPr>
              <w:t>openness</w:t>
            </w:r>
            <w:r>
              <w:rPr>
                <w:rFonts w:ascii="Times New Roman" w:hAnsi="Times New Roman" w:cs="Times New Roman"/>
                <w:sz w:val="20"/>
                <w:szCs w:val="20"/>
              </w:rPr>
              <w:t xml:space="preserve"> to talk about their loss because it could be something someone wants to talk </w:t>
            </w:r>
            <w:r w:rsidR="00D5791C">
              <w:rPr>
                <w:rFonts w:ascii="Times New Roman" w:hAnsi="Times New Roman" w:cs="Times New Roman"/>
                <w:sz w:val="20"/>
                <w:szCs w:val="20"/>
              </w:rPr>
              <w:t>about,</w:t>
            </w:r>
            <w:r>
              <w:rPr>
                <w:rFonts w:ascii="Times New Roman" w:hAnsi="Times New Roman" w:cs="Times New Roman"/>
                <w:sz w:val="20"/>
                <w:szCs w:val="20"/>
              </w:rPr>
              <w:t xml:space="preserve"> and I think just saying sorry is in a way ending that conversation. </w:t>
            </w:r>
            <w:r w:rsidR="0035586F">
              <w:rPr>
                <w:rFonts w:ascii="Times New Roman" w:hAnsi="Times New Roman" w:cs="Times New Roman"/>
                <w:sz w:val="20"/>
                <w:szCs w:val="20"/>
              </w:rPr>
              <w:t xml:space="preserve">What I took from the article is that its important to keep that line of communication open because they could feel very alone with their </w:t>
            </w:r>
            <w:r w:rsidR="00D5791C">
              <w:rPr>
                <w:rFonts w:ascii="Times New Roman" w:hAnsi="Times New Roman" w:cs="Times New Roman"/>
                <w:sz w:val="20"/>
                <w:szCs w:val="20"/>
              </w:rPr>
              <w:t>grief,</w:t>
            </w:r>
            <w:r w:rsidR="0035586F">
              <w:rPr>
                <w:rFonts w:ascii="Times New Roman" w:hAnsi="Times New Roman" w:cs="Times New Roman"/>
                <w:sz w:val="20"/>
                <w:szCs w:val="20"/>
              </w:rPr>
              <w:t xml:space="preserve"> but we would never know. </w:t>
            </w:r>
            <w:r w:rsidR="00D5791C">
              <w:rPr>
                <w:rFonts w:ascii="Times New Roman" w:hAnsi="Times New Roman" w:cs="Times New Roman"/>
                <w:sz w:val="20"/>
                <w:szCs w:val="20"/>
              </w:rPr>
              <w:t>However,</w:t>
            </w:r>
            <w:r w:rsidR="0035586F">
              <w:rPr>
                <w:rFonts w:ascii="Times New Roman" w:hAnsi="Times New Roman" w:cs="Times New Roman"/>
                <w:sz w:val="20"/>
                <w:szCs w:val="20"/>
              </w:rPr>
              <w:t xml:space="preserve"> its important not to give unsolicited advice or assume they want to talk about it. I think a better way I could have responded would be acknowledging that that must have been difficult </w:t>
            </w:r>
            <w:r w:rsidR="00D5791C">
              <w:rPr>
                <w:rFonts w:ascii="Times New Roman" w:hAnsi="Times New Roman" w:cs="Times New Roman"/>
                <w:sz w:val="20"/>
                <w:szCs w:val="20"/>
              </w:rPr>
              <w:t xml:space="preserve">for them and giving them the reassurance that if they ever need to talk to someone about that experience and how they are coping that you are there to support them. </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lastRenderedPageBreak/>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4A99969E" w14:textId="57DE5D3F" w:rsidR="00994D22" w:rsidRPr="007422BF" w:rsidRDefault="00D5791C">
            <w:pPr>
              <w:rPr>
                <w:rFonts w:ascii="Times New Roman" w:hAnsi="Times New Roman" w:cs="Times New Roman"/>
                <w:sz w:val="20"/>
                <w:szCs w:val="20"/>
              </w:rPr>
            </w:pPr>
            <w:r>
              <w:rPr>
                <w:rFonts w:ascii="Times New Roman" w:hAnsi="Times New Roman" w:cs="Times New Roman"/>
                <w:sz w:val="20"/>
                <w:szCs w:val="20"/>
              </w:rPr>
              <w:lastRenderedPageBreak/>
              <w:t xml:space="preserve">This new knowledge will </w:t>
            </w:r>
            <w:proofErr w:type="gramStart"/>
            <w:r>
              <w:rPr>
                <w:rFonts w:ascii="Times New Roman" w:hAnsi="Times New Roman" w:cs="Times New Roman"/>
                <w:sz w:val="20"/>
                <w:szCs w:val="20"/>
              </w:rPr>
              <w:t>definitely be</w:t>
            </w:r>
            <w:proofErr w:type="gramEnd"/>
            <w:r>
              <w:rPr>
                <w:rFonts w:ascii="Times New Roman" w:hAnsi="Times New Roman" w:cs="Times New Roman"/>
                <w:sz w:val="20"/>
                <w:szCs w:val="20"/>
              </w:rPr>
              <w:t xml:space="preserve"> implemented when treating a patient who may has had a recent loss in their life but also the family of a patient who is grieving. Weather its being an open ear for them or connecting them with support groups or social work. </w:t>
            </w:r>
            <w:r w:rsidR="00B16384">
              <w:rPr>
                <w:rFonts w:ascii="Times New Roman" w:hAnsi="Times New Roman" w:cs="Times New Roman"/>
                <w:sz w:val="20"/>
                <w:szCs w:val="20"/>
              </w:rPr>
              <w:t xml:space="preserve">I think some nursing resources that will help me develop this knowledge will be veteran nurses. People who have been their and </w:t>
            </w:r>
            <w:r w:rsidR="00B16384">
              <w:rPr>
                <w:rFonts w:ascii="Times New Roman" w:hAnsi="Times New Roman" w:cs="Times New Roman"/>
                <w:sz w:val="20"/>
                <w:szCs w:val="20"/>
              </w:rPr>
              <w:lastRenderedPageBreak/>
              <w:t xml:space="preserve">dealt with patients who are grieving. As well as just people in my life who </w:t>
            </w:r>
            <w:proofErr w:type="spellStart"/>
            <w:r w:rsidR="00B16384">
              <w:rPr>
                <w:rFonts w:ascii="Times New Roman" w:hAnsi="Times New Roman" w:cs="Times New Roman"/>
                <w:sz w:val="20"/>
                <w:szCs w:val="20"/>
              </w:rPr>
              <w:t>im</w:t>
            </w:r>
            <w:proofErr w:type="spellEnd"/>
            <w:r w:rsidR="00B16384">
              <w:rPr>
                <w:rFonts w:ascii="Times New Roman" w:hAnsi="Times New Roman" w:cs="Times New Roman"/>
                <w:sz w:val="20"/>
                <w:szCs w:val="20"/>
              </w:rPr>
              <w:t xml:space="preserve"> comfortable with and getting their opinions and ideas on how they would have wanted to be treated or talked to when they were going through a significant loss. </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4F43984C" w14:textId="77777777" w:rsidR="00D45B8C" w:rsidRDefault="00CB4D32">
            <w:pPr>
              <w:rPr>
                <w:rFonts w:ascii="Times New Roman" w:hAnsi="Times New Roman" w:cs="Times New Roman"/>
                <w:sz w:val="20"/>
                <w:szCs w:val="20"/>
              </w:rPr>
            </w:pPr>
            <w:r>
              <w:rPr>
                <w:rFonts w:ascii="Times New Roman" w:hAnsi="Times New Roman" w:cs="Times New Roman"/>
                <w:sz w:val="20"/>
                <w:szCs w:val="20"/>
              </w:rPr>
              <w:t xml:space="preserve">Know-based practice influenced this experience because I felt the therapeutic communication I was using wasn’t know-based practice and felt I needed to a refresher in that area and this experience made me realize that. </w:t>
            </w:r>
          </w:p>
          <w:p w14:paraId="7F920B86" w14:textId="6CEBEAA0" w:rsidR="00B16384" w:rsidRPr="007422BF" w:rsidRDefault="00B16384">
            <w:pPr>
              <w:rPr>
                <w:rFonts w:ascii="Times New Roman" w:hAnsi="Times New Roman" w:cs="Times New Roman"/>
                <w:sz w:val="20"/>
                <w:szCs w:val="20"/>
              </w:rPr>
            </w:pPr>
            <w:r>
              <w:rPr>
                <w:rFonts w:ascii="Times New Roman" w:hAnsi="Times New Roman" w:cs="Times New Roman"/>
                <w:sz w:val="20"/>
                <w:szCs w:val="20"/>
              </w:rPr>
              <w:t xml:space="preserve">Person family centered care influenced this experience because I felt like I could have given better person family centered care and that’s what geared me to look further into therapeutic communication with pts who have had a loss in their life, and the best way to talk to them and their families. </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4158F319"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05B62EFD" w14:textId="4A4A90F5" w:rsidR="005E1045" w:rsidRPr="007422BF" w:rsidRDefault="005E1045" w:rsidP="00CF6D4E">
            <w:pPr>
              <w:rPr>
                <w:rFonts w:ascii="Times New Roman" w:hAnsi="Times New Roman" w:cs="Times New Roman"/>
                <w:sz w:val="20"/>
                <w:szCs w:val="20"/>
              </w:rPr>
            </w:pPr>
            <w:r w:rsidRPr="005E1045">
              <w:rPr>
                <w:rFonts w:ascii="Times New Roman" w:hAnsi="Times New Roman" w:cs="Times New Roman"/>
                <w:sz w:val="20"/>
                <w:szCs w:val="20"/>
              </w:rPr>
              <w:t>Scannell-</w:t>
            </w:r>
            <w:proofErr w:type="spellStart"/>
            <w:r w:rsidRPr="005E1045">
              <w:rPr>
                <w:rFonts w:ascii="Times New Roman" w:hAnsi="Times New Roman" w:cs="Times New Roman"/>
                <w:sz w:val="20"/>
                <w:szCs w:val="20"/>
              </w:rPr>
              <w:t>Desch</w:t>
            </w:r>
            <w:proofErr w:type="spellEnd"/>
            <w:r w:rsidRPr="005E1045">
              <w:rPr>
                <w:rFonts w:ascii="Times New Roman" w:hAnsi="Times New Roman" w:cs="Times New Roman"/>
                <w:sz w:val="20"/>
                <w:szCs w:val="20"/>
              </w:rPr>
              <w:t xml:space="preserve"> E. (2005). Mid-life widows’ narratives of support and non-support. Journal of Psychosocial Nursing &amp; Mental Health Services, 43(4), 40–49. https://doi-org.ledproxy2.uwindsor.ca/10.3928/02793695-20050401-06</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686E20">
      <w:headerReference w:type="default" r:id="rId10"/>
      <w:foot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CE17" w14:textId="77777777" w:rsidR="00856D6B" w:rsidRDefault="00856D6B" w:rsidP="00D255D8">
      <w:pPr>
        <w:spacing w:after="0" w:line="240" w:lineRule="auto"/>
      </w:pPr>
      <w:r>
        <w:separator/>
      </w:r>
    </w:p>
  </w:endnote>
  <w:endnote w:type="continuationSeparator" w:id="0">
    <w:p w14:paraId="19F5FDB3" w14:textId="77777777" w:rsidR="00856D6B" w:rsidRDefault="00856D6B" w:rsidP="00D255D8">
      <w:pPr>
        <w:spacing w:after="0" w:line="240" w:lineRule="auto"/>
      </w:pPr>
      <w:r>
        <w:continuationSeparator/>
      </w:r>
    </w:p>
  </w:endnote>
  <w:endnote w:type="continuationNotice" w:id="1">
    <w:p w14:paraId="17AB5545" w14:textId="77777777" w:rsidR="00856D6B" w:rsidRDefault="00856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 xml:space="preserve">2015_Bondy, </w:t>
    </w:r>
    <w:proofErr w:type="spellStart"/>
    <w:r w:rsidRPr="00D255D8">
      <w:t>Deshaies</w:t>
    </w:r>
    <w:proofErr w:type="spellEnd"/>
    <w:r w:rsidRPr="00D255D8">
      <w:t xml:space="preserve">, &amp; </w:t>
    </w:r>
    <w:proofErr w:type="spellStart"/>
    <w:r w:rsidRPr="00D255D8">
      <w:t>Serafimovski</w:t>
    </w:r>
    <w:proofErr w:type="spellEnd"/>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1052" w14:textId="77777777" w:rsidR="00856D6B" w:rsidRDefault="00856D6B" w:rsidP="00D255D8">
      <w:pPr>
        <w:spacing w:after="0" w:line="240" w:lineRule="auto"/>
      </w:pPr>
      <w:r>
        <w:separator/>
      </w:r>
    </w:p>
  </w:footnote>
  <w:footnote w:type="continuationSeparator" w:id="0">
    <w:p w14:paraId="19209FE4" w14:textId="77777777" w:rsidR="00856D6B" w:rsidRDefault="00856D6B" w:rsidP="00D255D8">
      <w:pPr>
        <w:spacing w:after="0" w:line="240" w:lineRule="auto"/>
      </w:pPr>
      <w:r>
        <w:continuationSeparator/>
      </w:r>
    </w:p>
  </w:footnote>
  <w:footnote w:type="continuationNotice" w:id="1">
    <w:p w14:paraId="61BC9760" w14:textId="77777777" w:rsidR="00856D6B" w:rsidRDefault="00856D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77777777" w:rsidR="0FB05382" w:rsidRDefault="1A6D0966"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16cid:durableId="1930387296">
    <w:abstractNumId w:val="10"/>
  </w:num>
  <w:num w:numId="2" w16cid:durableId="279723059">
    <w:abstractNumId w:val="0"/>
  </w:num>
  <w:num w:numId="3" w16cid:durableId="53621998">
    <w:abstractNumId w:val="8"/>
  </w:num>
  <w:num w:numId="4" w16cid:durableId="2120489747">
    <w:abstractNumId w:val="9"/>
  </w:num>
  <w:num w:numId="5" w16cid:durableId="2081052054">
    <w:abstractNumId w:val="6"/>
  </w:num>
  <w:num w:numId="6" w16cid:durableId="2113475637">
    <w:abstractNumId w:val="7"/>
  </w:num>
  <w:num w:numId="7" w16cid:durableId="301809124">
    <w:abstractNumId w:val="3"/>
  </w:num>
  <w:num w:numId="8" w16cid:durableId="1364018136">
    <w:abstractNumId w:val="15"/>
  </w:num>
  <w:num w:numId="9" w16cid:durableId="591931564">
    <w:abstractNumId w:val="1"/>
  </w:num>
  <w:num w:numId="10" w16cid:durableId="942566729">
    <w:abstractNumId w:val="2"/>
  </w:num>
  <w:num w:numId="11" w16cid:durableId="1606763892">
    <w:abstractNumId w:val="11"/>
  </w:num>
  <w:num w:numId="12" w16cid:durableId="68239578">
    <w:abstractNumId w:val="14"/>
  </w:num>
  <w:num w:numId="13" w16cid:durableId="38290419">
    <w:abstractNumId w:val="5"/>
  </w:num>
  <w:num w:numId="14" w16cid:durableId="325672714">
    <w:abstractNumId w:val="13"/>
  </w:num>
  <w:num w:numId="15" w16cid:durableId="1393774685">
    <w:abstractNumId w:val="4"/>
  </w:num>
  <w:num w:numId="16" w16cid:durableId="13046536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42601"/>
    <w:rsid w:val="00052F5A"/>
    <w:rsid w:val="000D752F"/>
    <w:rsid w:val="00142EDE"/>
    <w:rsid w:val="002254DA"/>
    <w:rsid w:val="002576BD"/>
    <w:rsid w:val="002B1A4C"/>
    <w:rsid w:val="002C6914"/>
    <w:rsid w:val="002D5FD6"/>
    <w:rsid w:val="00346203"/>
    <w:rsid w:val="0035586F"/>
    <w:rsid w:val="003819F0"/>
    <w:rsid w:val="003D2769"/>
    <w:rsid w:val="003F2B48"/>
    <w:rsid w:val="0041372E"/>
    <w:rsid w:val="00426C65"/>
    <w:rsid w:val="004407FB"/>
    <w:rsid w:val="005715BA"/>
    <w:rsid w:val="00576ABE"/>
    <w:rsid w:val="005E1045"/>
    <w:rsid w:val="00634154"/>
    <w:rsid w:val="00686E20"/>
    <w:rsid w:val="0069405D"/>
    <w:rsid w:val="007422BF"/>
    <w:rsid w:val="00785D99"/>
    <w:rsid w:val="007D76E5"/>
    <w:rsid w:val="00806FF4"/>
    <w:rsid w:val="00834B50"/>
    <w:rsid w:val="00856D6B"/>
    <w:rsid w:val="00940F4B"/>
    <w:rsid w:val="00976A12"/>
    <w:rsid w:val="00994D22"/>
    <w:rsid w:val="00A1205F"/>
    <w:rsid w:val="00A55BE6"/>
    <w:rsid w:val="00A83ECB"/>
    <w:rsid w:val="00A90333"/>
    <w:rsid w:val="00AD1772"/>
    <w:rsid w:val="00B16384"/>
    <w:rsid w:val="00B51E95"/>
    <w:rsid w:val="00B74F69"/>
    <w:rsid w:val="00C0394D"/>
    <w:rsid w:val="00C25D63"/>
    <w:rsid w:val="00C64200"/>
    <w:rsid w:val="00CB4D32"/>
    <w:rsid w:val="00CF6D4E"/>
    <w:rsid w:val="00D255D8"/>
    <w:rsid w:val="00D45B8C"/>
    <w:rsid w:val="00D5791C"/>
    <w:rsid w:val="00DD2EE1"/>
    <w:rsid w:val="00ED25BA"/>
    <w:rsid w:val="00F421DF"/>
    <w:rsid w:val="00F45C32"/>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14DD3-0BC6-4543-8796-889E1BDC7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Abby Van Amerongen</cp:lastModifiedBy>
  <cp:revision>3</cp:revision>
  <dcterms:created xsi:type="dcterms:W3CDTF">2020-07-02T18:15:00Z</dcterms:created>
  <dcterms:modified xsi:type="dcterms:W3CDTF">2022-09-21T23:05:00Z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