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72FB9" w14:textId="77777777" w:rsidR="00D35578" w:rsidRDefault="00D35578" w:rsidP="00D35578">
      <w:pPr>
        <w:jc w:val="center"/>
        <w:rPr>
          <w:rFonts w:ascii="Times New Roman" w:eastAsia="Times New Roman" w:hAnsi="Times New Roman" w:cs="Times New Roman"/>
          <w:b/>
          <w:bCs/>
          <w:sz w:val="24"/>
          <w:szCs w:val="24"/>
        </w:rPr>
      </w:pPr>
    </w:p>
    <w:p w14:paraId="67A9E8ED" w14:textId="77777777" w:rsidR="00D35578" w:rsidRDefault="00D35578" w:rsidP="00D35578">
      <w:pPr>
        <w:jc w:val="center"/>
        <w:rPr>
          <w:rFonts w:ascii="Times New Roman" w:eastAsia="Times New Roman" w:hAnsi="Times New Roman" w:cs="Times New Roman"/>
          <w:b/>
          <w:bCs/>
          <w:sz w:val="24"/>
          <w:szCs w:val="24"/>
        </w:rPr>
      </w:pPr>
    </w:p>
    <w:p w14:paraId="189B5EB4" w14:textId="77777777" w:rsidR="00D35578" w:rsidRDefault="00D35578" w:rsidP="00D35578">
      <w:pPr>
        <w:jc w:val="center"/>
        <w:rPr>
          <w:rFonts w:ascii="Times New Roman" w:eastAsia="Times New Roman" w:hAnsi="Times New Roman" w:cs="Times New Roman"/>
          <w:b/>
          <w:bCs/>
          <w:sz w:val="24"/>
          <w:szCs w:val="24"/>
        </w:rPr>
      </w:pPr>
    </w:p>
    <w:p w14:paraId="06FAC3DF" w14:textId="77777777" w:rsidR="00D35578" w:rsidRDefault="00D35578" w:rsidP="00D35578">
      <w:pPr>
        <w:jc w:val="center"/>
        <w:rPr>
          <w:rFonts w:ascii="Times New Roman" w:eastAsia="Times New Roman" w:hAnsi="Times New Roman" w:cs="Times New Roman"/>
          <w:b/>
          <w:bCs/>
          <w:sz w:val="24"/>
          <w:szCs w:val="24"/>
        </w:rPr>
      </w:pPr>
    </w:p>
    <w:p w14:paraId="6F39B68B" w14:textId="77777777" w:rsidR="00D35578" w:rsidRDefault="00D35578" w:rsidP="00D35578">
      <w:pPr>
        <w:jc w:val="center"/>
        <w:rPr>
          <w:rFonts w:ascii="Times New Roman" w:eastAsia="Times New Roman" w:hAnsi="Times New Roman" w:cs="Times New Roman"/>
          <w:b/>
          <w:bCs/>
          <w:sz w:val="24"/>
          <w:szCs w:val="24"/>
        </w:rPr>
      </w:pPr>
    </w:p>
    <w:p w14:paraId="325BB405" w14:textId="77777777" w:rsidR="00D35578" w:rsidRDefault="00D35578" w:rsidP="00D35578">
      <w:pPr>
        <w:jc w:val="center"/>
        <w:rPr>
          <w:rFonts w:ascii="Times New Roman" w:eastAsia="Times New Roman" w:hAnsi="Times New Roman" w:cs="Times New Roman"/>
          <w:b/>
          <w:bCs/>
          <w:sz w:val="24"/>
          <w:szCs w:val="24"/>
        </w:rPr>
      </w:pPr>
    </w:p>
    <w:p w14:paraId="7E4F0096" w14:textId="77777777" w:rsidR="00D35578" w:rsidRDefault="00D35578" w:rsidP="00D35578">
      <w:pPr>
        <w:jc w:val="center"/>
        <w:rPr>
          <w:rFonts w:ascii="Times New Roman" w:eastAsia="Times New Roman" w:hAnsi="Times New Roman" w:cs="Times New Roman"/>
          <w:b/>
          <w:bCs/>
          <w:sz w:val="24"/>
          <w:szCs w:val="24"/>
        </w:rPr>
      </w:pPr>
    </w:p>
    <w:p w14:paraId="3AA3C21D" w14:textId="77777777" w:rsidR="00D35578" w:rsidRDefault="00D35578" w:rsidP="00D35578">
      <w:pPr>
        <w:jc w:val="center"/>
        <w:rPr>
          <w:rFonts w:ascii="Times New Roman" w:eastAsia="Times New Roman" w:hAnsi="Times New Roman" w:cs="Times New Roman"/>
          <w:b/>
          <w:bCs/>
          <w:sz w:val="24"/>
          <w:szCs w:val="24"/>
        </w:rPr>
      </w:pPr>
    </w:p>
    <w:p w14:paraId="3C4C60BF" w14:textId="22024B7B" w:rsidR="00D35578" w:rsidRDefault="009012BC" w:rsidP="00723C4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Communication Issues from N95s</w:t>
      </w:r>
    </w:p>
    <w:p w14:paraId="7AAA4010" w14:textId="70689E38" w:rsidR="00D35578" w:rsidRDefault="00D35578" w:rsidP="00D35578">
      <w:pPr>
        <w:jc w:val="center"/>
        <w:rPr>
          <w:rFonts w:ascii="Times New Roman" w:eastAsia="Times New Roman" w:hAnsi="Times New Roman" w:cs="Times New Roman"/>
          <w:b/>
          <w:bCs/>
          <w:sz w:val="24"/>
          <w:szCs w:val="24"/>
        </w:rPr>
      </w:pPr>
    </w:p>
    <w:p w14:paraId="788AC6A6" w14:textId="0D70E6FC"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3F5A1043" w14:textId="2DA909D2"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8EA9302" w14:textId="74976FD7"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NURS2532-22</w:t>
      </w:r>
    </w:p>
    <w:p w14:paraId="6A91D9DA" w14:textId="3A1CC1B4"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Padma Ravi</w:t>
      </w:r>
    </w:p>
    <w:p w14:paraId="7C3FEDAE" w14:textId="55339AC7" w:rsidR="00D35578" w:rsidRPr="00D35578" w:rsidRDefault="00723C46"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10</w:t>
      </w:r>
      <w:r w:rsidR="00D35578">
        <w:rPr>
          <w:rFonts w:ascii="Times New Roman" w:eastAsia="Times New Roman" w:hAnsi="Times New Roman" w:cs="Times New Roman"/>
          <w:sz w:val="24"/>
          <w:szCs w:val="24"/>
        </w:rPr>
        <w:t>, 2021</w:t>
      </w:r>
    </w:p>
    <w:p w14:paraId="6BEDE8C7" w14:textId="1386FAB3" w:rsidR="008B1E96" w:rsidRDefault="008B1E9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4D4C4D2" w14:textId="778CB44D" w:rsidR="00D35578" w:rsidRDefault="00D35578">
      <w:pPr>
        <w:rPr>
          <w:rFonts w:ascii="Times New Roman" w:eastAsia="Times New Roman" w:hAnsi="Times New Roman" w:cs="Times New Roman"/>
          <w:b/>
          <w:bCs/>
          <w:sz w:val="20"/>
          <w:szCs w:val="20"/>
        </w:rPr>
        <w:sectPr w:rsidR="00D35578" w:rsidSect="00D35578">
          <w:headerReference w:type="default" r:id="rId10"/>
          <w:footerReference w:type="default" r:id="rId11"/>
          <w:headerReference w:type="first" r:id="rId12"/>
          <w:pgSz w:w="12240" w:h="15840"/>
          <w:pgMar w:top="1440" w:right="1440" w:bottom="1440" w:left="1440" w:header="709" w:footer="709" w:gutter="0"/>
          <w:cols w:space="708"/>
          <w:titlePg/>
          <w:docGrid w:linePitch="360"/>
        </w:sectPr>
      </w:pPr>
    </w:p>
    <w:p w14:paraId="17AB1661" w14:textId="189205C0"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306AA21C"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8B1E96">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8B1E96">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8B1E96">
        <w:rPr>
          <w:rFonts w:ascii="Times New Roman" w:eastAsia="Times New Roman" w:hAnsi="Times New Roman" w:cs="Times New Roman"/>
          <w:sz w:val="20"/>
          <w:szCs w:val="20"/>
        </w:rPr>
        <w:t xml:space="preserve"> </w:t>
      </w:r>
      <w:r w:rsidR="00452961">
        <w:rPr>
          <w:rFonts w:ascii="Times New Roman" w:eastAsia="Times New Roman" w:hAnsi="Times New Roman" w:cs="Times New Roman"/>
          <w:sz w:val="20"/>
          <w:szCs w:val="20"/>
        </w:rPr>
        <w:t>February 10</w:t>
      </w:r>
      <w:r w:rsidR="008B1E96">
        <w:rPr>
          <w:rFonts w:ascii="Times New Roman" w:eastAsia="Times New Roman" w:hAnsi="Times New Roman" w:cs="Times New Roman"/>
          <w:sz w:val="20"/>
          <w:szCs w:val="20"/>
        </w:rPr>
        <w:t>,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1B97F43C" w14:textId="457246EE" w:rsidR="00452961" w:rsidRDefault="008B1E96" w:rsidP="00452961">
            <w:pPr>
              <w:ind w:firstLine="720"/>
              <w:rPr>
                <w:rFonts w:ascii="Times New Roman" w:hAnsi="Times New Roman" w:cs="Times New Roman"/>
                <w:sz w:val="20"/>
                <w:szCs w:val="20"/>
              </w:rPr>
            </w:pPr>
            <w:r>
              <w:rPr>
                <w:rFonts w:ascii="Times New Roman" w:hAnsi="Times New Roman" w:cs="Times New Roman"/>
                <w:sz w:val="20"/>
                <w:szCs w:val="20"/>
              </w:rPr>
              <w:t xml:space="preserve">On </w:t>
            </w:r>
            <w:r w:rsidR="00953A92">
              <w:rPr>
                <w:rFonts w:ascii="Times New Roman" w:hAnsi="Times New Roman" w:cs="Times New Roman"/>
                <w:sz w:val="20"/>
                <w:szCs w:val="20"/>
              </w:rPr>
              <w:t>February 2, I cared fo</w:t>
            </w:r>
            <w:r w:rsidR="00E74BB6">
              <w:rPr>
                <w:rFonts w:ascii="Times New Roman" w:hAnsi="Times New Roman" w:cs="Times New Roman"/>
                <w:sz w:val="20"/>
                <w:szCs w:val="20"/>
              </w:rPr>
              <w:t>r a patient who was on enhanced COVID precautions</w:t>
            </w:r>
            <w:r w:rsidR="00A02225">
              <w:rPr>
                <w:rFonts w:ascii="Times New Roman" w:hAnsi="Times New Roman" w:cs="Times New Roman"/>
                <w:sz w:val="20"/>
                <w:szCs w:val="20"/>
              </w:rPr>
              <w:t>; this required me to wear a N95 mask when providing care to the patient. At first, I found the N95 more enjoyable than my usual surgical mask because I felt like it gave me more room to breathe since it wasn’t pressed up on my face and it didn’t make my glasses fog up. However, I quickly realized that while there are benefits to the mask, it also comes with its disadvantages.</w:t>
            </w:r>
          </w:p>
          <w:p w14:paraId="4C17FD2A" w14:textId="2B01F3C4" w:rsidR="00A02225" w:rsidRDefault="00A02225" w:rsidP="00452961">
            <w:pPr>
              <w:ind w:firstLine="720"/>
              <w:rPr>
                <w:rFonts w:ascii="Times New Roman" w:hAnsi="Times New Roman" w:cs="Times New Roman"/>
                <w:sz w:val="20"/>
                <w:szCs w:val="20"/>
              </w:rPr>
            </w:pPr>
            <w:r>
              <w:rPr>
                <w:rFonts w:ascii="Times New Roman" w:hAnsi="Times New Roman" w:cs="Times New Roman"/>
                <w:sz w:val="20"/>
                <w:szCs w:val="20"/>
              </w:rPr>
              <w:t>The major issue I ran into was getting my patient to hear me well. Although my patient already had some hearing impairments, I found that the N95 made my voice even more muffled. It made me frustrated when I had to repeat what I said multiple times to no avail. When my voice finally got through to my patient, it felt like I was screaming. I didn’t want my patient to also feel like I was yelling at her, but that was the only way for me to speak to get my voice heard through the mask.</w:t>
            </w:r>
          </w:p>
          <w:p w14:paraId="70A21240" w14:textId="77777777" w:rsidR="00A02225" w:rsidRPr="007422BF" w:rsidRDefault="00A02225" w:rsidP="00A02225">
            <w:pPr>
              <w:rPr>
                <w:rFonts w:ascii="Times New Roman" w:hAnsi="Times New Roman" w:cs="Times New Roman"/>
                <w:sz w:val="20"/>
                <w:szCs w:val="20"/>
              </w:rPr>
            </w:pPr>
          </w:p>
          <w:p w14:paraId="3800AEBE" w14:textId="16C11691" w:rsidR="008B1E96" w:rsidRPr="007422BF" w:rsidRDefault="008B1E96" w:rsidP="00452961">
            <w:pPr>
              <w:ind w:firstLine="720"/>
              <w:rPr>
                <w:rFonts w:ascii="Times New Roman" w:hAnsi="Times New Roman" w:cs="Times New Roman"/>
                <w:sz w:val="20"/>
                <w:szCs w:val="20"/>
              </w:rPr>
            </w:pP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117EA79D" w14:textId="77777777" w:rsidR="009012BC" w:rsidRDefault="009012BC" w:rsidP="00241FF5">
            <w:pPr>
              <w:ind w:firstLine="720"/>
              <w:rPr>
                <w:rFonts w:ascii="Times New Roman" w:hAnsi="Times New Roman" w:cs="Times New Roman"/>
                <w:sz w:val="20"/>
                <w:szCs w:val="20"/>
              </w:rPr>
            </w:pPr>
            <w:r>
              <w:rPr>
                <w:rFonts w:ascii="Times New Roman" w:hAnsi="Times New Roman" w:cs="Times New Roman"/>
                <w:sz w:val="20"/>
                <w:szCs w:val="20"/>
              </w:rPr>
              <w:t xml:space="preserve">The article outlines some of the communication issues that are associated with various PPE: auditory/visual, tactile, and structural barriers. </w:t>
            </w:r>
            <w:r>
              <w:rPr>
                <w:rFonts w:ascii="Times New Roman" w:hAnsi="Times New Roman" w:cs="Times New Roman"/>
                <w:sz w:val="20"/>
                <w:szCs w:val="20"/>
              </w:rPr>
              <w:t>Schlosser</w:t>
            </w:r>
            <w:r>
              <w:rPr>
                <w:rFonts w:ascii="Times New Roman" w:hAnsi="Times New Roman" w:cs="Times New Roman"/>
                <w:sz w:val="20"/>
                <w:szCs w:val="20"/>
              </w:rPr>
              <w:t xml:space="preserve"> et al. (2021) explain that the components of PPE like the fan in PAPR helmets can distract workers’ hearing capabilities. Layers of material from full body PPE, such as gloves and gowns can impair the touch sensation, while the layout of patients under stricter isolation can also inhibit communication loops of workers and patients (</w:t>
            </w:r>
            <w:r>
              <w:rPr>
                <w:rFonts w:ascii="Times New Roman" w:hAnsi="Times New Roman" w:cs="Times New Roman"/>
                <w:sz w:val="20"/>
                <w:szCs w:val="20"/>
              </w:rPr>
              <w:t>Schlosser et al.</w:t>
            </w:r>
            <w:r>
              <w:rPr>
                <w:rFonts w:ascii="Times New Roman" w:hAnsi="Times New Roman" w:cs="Times New Roman"/>
                <w:sz w:val="20"/>
                <w:szCs w:val="20"/>
              </w:rPr>
              <w:t>,</w:t>
            </w:r>
            <w:r>
              <w:rPr>
                <w:rFonts w:ascii="Times New Roman" w:hAnsi="Times New Roman" w:cs="Times New Roman"/>
                <w:sz w:val="20"/>
                <w:szCs w:val="20"/>
              </w:rPr>
              <w:t xml:space="preserve"> 2021</w:t>
            </w:r>
            <w:r>
              <w:rPr>
                <w:rFonts w:ascii="Times New Roman" w:hAnsi="Times New Roman" w:cs="Times New Roman"/>
                <w:sz w:val="20"/>
                <w:szCs w:val="20"/>
              </w:rPr>
              <w:t>).</w:t>
            </w:r>
            <w:r w:rsidR="00241FF5">
              <w:rPr>
                <w:rFonts w:ascii="Times New Roman" w:hAnsi="Times New Roman" w:cs="Times New Roman"/>
                <w:sz w:val="20"/>
                <w:szCs w:val="20"/>
              </w:rPr>
              <w:t xml:space="preserve"> </w:t>
            </w:r>
            <w:r>
              <w:rPr>
                <w:rFonts w:ascii="Times New Roman" w:hAnsi="Times New Roman" w:cs="Times New Roman"/>
                <w:sz w:val="20"/>
                <w:szCs w:val="20"/>
              </w:rPr>
              <w:t xml:space="preserve">After </w:t>
            </w:r>
            <w:r w:rsidR="00241FF5">
              <w:rPr>
                <w:rFonts w:ascii="Times New Roman" w:hAnsi="Times New Roman" w:cs="Times New Roman"/>
                <w:sz w:val="20"/>
                <w:szCs w:val="20"/>
              </w:rPr>
              <w:t xml:space="preserve">trialing various tools to aid communication, </w:t>
            </w:r>
            <w:r w:rsidR="00241FF5">
              <w:rPr>
                <w:rFonts w:ascii="Times New Roman" w:hAnsi="Times New Roman" w:cs="Times New Roman"/>
                <w:sz w:val="20"/>
                <w:szCs w:val="20"/>
              </w:rPr>
              <w:t>Schlosser et al. (2021)</w:t>
            </w:r>
            <w:r w:rsidR="00241FF5">
              <w:rPr>
                <w:rFonts w:ascii="Times New Roman" w:hAnsi="Times New Roman" w:cs="Times New Roman"/>
                <w:sz w:val="20"/>
                <w:szCs w:val="20"/>
              </w:rPr>
              <w:t xml:space="preserve"> conclude that techniques such as keeping patient whiteboards up-to-date and using current audiovisual technology can help eliminate some of the issues of communication caused by PPE. They recommend using multiple methods as not one technique was found to be perfect.</w:t>
            </w:r>
          </w:p>
          <w:p w14:paraId="5CEE1981" w14:textId="2760762A" w:rsidR="00241FF5" w:rsidRPr="007422BF" w:rsidRDefault="00241FF5" w:rsidP="00241FF5">
            <w:pPr>
              <w:ind w:firstLine="720"/>
              <w:rPr>
                <w:rFonts w:ascii="Times New Roman" w:hAnsi="Times New Roman" w:cs="Times New Roman"/>
                <w:sz w:val="20"/>
                <w:szCs w:val="20"/>
              </w:rPr>
            </w:pPr>
            <w:r>
              <w:rPr>
                <w:rFonts w:ascii="Times New Roman" w:hAnsi="Times New Roman" w:cs="Times New Roman"/>
                <w:sz w:val="20"/>
                <w:szCs w:val="20"/>
              </w:rPr>
              <w:t xml:space="preserve">I agree with the statements made by the authors as it matched my own experience. To aid my communication with my older patient, I found using hand gestures to indicate numbers or body parts helped communicate what I tried to say. When discussing with my patient’s primary nurse, we did so outside the room and away from busy areas so that it would be quieter. The authors explored high-tech ideas that involved cameras and mics in each patient’s room and while it helped communication, I feel that it is not a good idea. Not only is it an expensive proposal for any facility, but it also infringes </w:t>
            </w:r>
            <w:r>
              <w:rPr>
                <w:rFonts w:ascii="Times New Roman" w:hAnsi="Times New Roman" w:cs="Times New Roman"/>
                <w:sz w:val="20"/>
                <w:szCs w:val="20"/>
              </w:rPr>
              <w:lastRenderedPageBreak/>
              <w:t>on the patient’s privacy as they can be watched from the nursing desk constantly. I think alternative solutions should be researched,</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lastRenderedPageBreak/>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25FA07FD" w14:textId="77777777" w:rsidR="00FE6EB4" w:rsidRDefault="00241FF5" w:rsidP="00241FF5">
            <w:pPr>
              <w:ind w:firstLine="720"/>
              <w:rPr>
                <w:rFonts w:ascii="Times New Roman" w:hAnsi="Times New Roman" w:cs="Times New Roman"/>
                <w:sz w:val="20"/>
                <w:szCs w:val="20"/>
              </w:rPr>
            </w:pPr>
            <w:r>
              <w:rPr>
                <w:rFonts w:ascii="Times New Roman" w:hAnsi="Times New Roman" w:cs="Times New Roman"/>
                <w:sz w:val="20"/>
                <w:szCs w:val="20"/>
              </w:rPr>
              <w:t xml:space="preserve">I am not the only person who felt frustrated by not being able to communicate effectively using PPE. When I had to transfer my patient to her bed, I had help from one of the other students. </w:t>
            </w:r>
            <w:r w:rsidR="00F305D4">
              <w:rPr>
                <w:rFonts w:ascii="Times New Roman" w:hAnsi="Times New Roman" w:cs="Times New Roman"/>
                <w:sz w:val="20"/>
                <w:szCs w:val="20"/>
              </w:rPr>
              <w:t xml:space="preserve">When she tried to give the patient instructions, she faced the same problem. Even after moving closer to my patient’s ear to speak, the patient still couldn’t make her words through the N95. Similar to me, my peer used gestures such as pointing to the bed and demonstrating herself bending her knees so that my patient would understand what she meant. </w:t>
            </w:r>
          </w:p>
          <w:p w14:paraId="54B5BF26" w14:textId="77777777" w:rsidR="00F305D4" w:rsidRDefault="00F305D4" w:rsidP="00F305D4">
            <w:pPr>
              <w:ind w:firstLine="720"/>
              <w:rPr>
                <w:rFonts w:ascii="Times New Roman" w:hAnsi="Times New Roman" w:cs="Times New Roman"/>
                <w:sz w:val="20"/>
                <w:szCs w:val="20"/>
              </w:rPr>
            </w:pPr>
            <w:r>
              <w:rPr>
                <w:rFonts w:ascii="Times New Roman" w:hAnsi="Times New Roman" w:cs="Times New Roman"/>
                <w:sz w:val="20"/>
                <w:szCs w:val="20"/>
              </w:rPr>
              <w:t>Schlosser et al. (2021)</w:t>
            </w:r>
            <w:r>
              <w:rPr>
                <w:rFonts w:ascii="Times New Roman" w:hAnsi="Times New Roman" w:cs="Times New Roman"/>
                <w:sz w:val="20"/>
                <w:szCs w:val="20"/>
              </w:rPr>
              <w:t xml:space="preserve"> discuss the important of communication in nursing. With the pandemic, many departments and hospitals expressed concern about the issue of communication; many exchanges were made and committees formed to tackle the issue. One important perspective that was brought up in these discussions was the family’s perspective. While safe were worried about patient privacy, families expressed relief at being able to videocall and communicate with the patient via the technology being used. Patient outcomes were said to have improved as a result (</w:t>
            </w:r>
            <w:r>
              <w:rPr>
                <w:rFonts w:ascii="Times New Roman" w:hAnsi="Times New Roman" w:cs="Times New Roman"/>
                <w:sz w:val="20"/>
                <w:szCs w:val="20"/>
              </w:rPr>
              <w:t>Schlosser et al.</w:t>
            </w:r>
            <w:r>
              <w:rPr>
                <w:rFonts w:ascii="Times New Roman" w:hAnsi="Times New Roman" w:cs="Times New Roman"/>
                <w:sz w:val="20"/>
                <w:szCs w:val="20"/>
              </w:rPr>
              <w:t xml:space="preserve">, </w:t>
            </w:r>
            <w:r>
              <w:rPr>
                <w:rFonts w:ascii="Times New Roman" w:hAnsi="Times New Roman" w:cs="Times New Roman"/>
                <w:sz w:val="20"/>
                <w:szCs w:val="20"/>
              </w:rPr>
              <w:t>2021)</w:t>
            </w:r>
            <w:r>
              <w:rPr>
                <w:rFonts w:ascii="Times New Roman" w:hAnsi="Times New Roman" w:cs="Times New Roman"/>
                <w:sz w:val="20"/>
                <w:szCs w:val="20"/>
              </w:rPr>
              <w:t>. Therefore, the healthcare community still has concerns about privacy issues associated with these changes, while family and patients and openly accepting the opportunities to communicate with their loved ones.</w:t>
            </w:r>
          </w:p>
          <w:p w14:paraId="71846170" w14:textId="4DB5690D" w:rsidR="00F305D4" w:rsidRPr="00CC6416" w:rsidRDefault="00F305D4" w:rsidP="00F305D4">
            <w:pPr>
              <w:ind w:firstLine="720"/>
              <w:rPr>
                <w:rFonts w:ascii="Times New Roman" w:hAnsi="Times New Roman" w:cs="Times New Roman"/>
                <w:sz w:val="20"/>
                <w:szCs w:val="20"/>
              </w:rPr>
            </w:pPr>
            <w:r>
              <w:rPr>
                <w:rFonts w:ascii="Times New Roman" w:hAnsi="Times New Roman" w:cs="Times New Roman"/>
                <w:sz w:val="20"/>
                <w:szCs w:val="20"/>
              </w:rPr>
              <w:t>At first it surprised me to hear that patients and families were accepting of these efforts but the more I thought about it, the more it made sense. A lot of the patients are lonely since no visitors are allowed with the current conditions and families are worried about the patient’s condition constantly. This new technology solves their problems, even if it isn’t perfect. The current focus now that it is being implemented in certain facilities should be figuring out how to implement these changes everywhere and what alternatives may work equally as well as this one.</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D5A8190" w:rsidR="4D8EC832" w:rsidRDefault="00F305D4" w:rsidP="191C1DDF">
            <w:pPr>
              <w:jc w:val="center"/>
              <w:rPr>
                <w:rFonts w:ascii="Times New Roman" w:hAnsi="Times New Roman" w:cs="Times New Roman"/>
                <w:b/>
                <w:bCs/>
                <w:sz w:val="18"/>
                <w:szCs w:val="18"/>
              </w:rPr>
            </w:pPr>
            <w:r>
              <w:rPr>
                <w:rFonts w:ascii="Times New Roman" w:hAnsi="Times New Roman" w:cs="Times New Roman"/>
                <w:b/>
                <w:bCs/>
                <w:sz w:val="18"/>
                <w:szCs w:val="18"/>
              </w:rPr>
              <w:t>®</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58DC7162" w:rsidR="00BE152F" w:rsidRPr="007422BF" w:rsidRDefault="00BE152F" w:rsidP="00B9559F">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F305D4">
              <w:rPr>
                <w:rFonts w:ascii="Times New Roman" w:hAnsi="Times New Roman" w:cs="Times New Roman"/>
                <w:sz w:val="20"/>
                <w:szCs w:val="20"/>
              </w:rPr>
              <w:t xml:space="preserve">In conclusion, </w:t>
            </w:r>
            <w:r w:rsidR="00B9559F">
              <w:rPr>
                <w:rFonts w:ascii="Times New Roman" w:hAnsi="Times New Roman" w:cs="Times New Roman"/>
                <w:sz w:val="20"/>
                <w:szCs w:val="20"/>
              </w:rPr>
              <w:t xml:space="preserve">communication issues sparked by PPE has caused healthcare facilities to look for new ways to improve communication in their environments. Technological approaches including camera and audio recording systems in every room are appearing to be a promising solution to the issue but still come with concerns of privacy. While I could not have used one of these new systems in my clinical experience, next time I can try alternative methods like writing messages for them to read.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65D685F4" w:rsidR="00B9559F" w:rsidRPr="00B9559F" w:rsidRDefault="00B9559F" w:rsidP="00B9559F">
            <w:pPr>
              <w:tabs>
                <w:tab w:val="left" w:pos="3759"/>
              </w:tabs>
              <w:ind w:firstLine="720"/>
              <w:rPr>
                <w:rFonts w:ascii="Times New Roman" w:hAnsi="Times New Roman" w:cs="Times New Roman"/>
                <w:sz w:val="20"/>
                <w:szCs w:val="20"/>
              </w:rPr>
            </w:pPr>
            <w:r>
              <w:rPr>
                <w:rFonts w:ascii="Times New Roman" w:hAnsi="Times New Roman" w:cs="Times New Roman"/>
                <w:sz w:val="20"/>
                <w:szCs w:val="20"/>
              </w:rPr>
              <w:t>I will specifically remember the importance of the whiteboards like the article mentioned and will ensure I keep mine updated in my future practice. One resource I can look into to help me with communication issues is RNAO and their Best Practice Guidelines.</w:t>
            </w:r>
            <w:r>
              <w:rPr>
                <w:rFonts w:ascii="Times New Roman" w:hAnsi="Times New Roman" w:cs="Times New Roman"/>
                <w:sz w:val="20"/>
                <w:szCs w:val="20"/>
              </w:rPr>
              <w:t xml:space="preserve"> I can also talk to other nurses and get their advice. Another option is to look into team training and initiatives such as TeamSTEPPS.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153919F9" w:rsidR="002514B8" w:rsidRPr="007422BF" w:rsidRDefault="00B9559F" w:rsidP="00B9559F">
            <w:pPr>
              <w:ind w:firstLine="720"/>
              <w:rPr>
                <w:rFonts w:ascii="Times New Roman" w:hAnsi="Times New Roman" w:cs="Times New Roman"/>
                <w:sz w:val="20"/>
                <w:szCs w:val="20"/>
              </w:rPr>
            </w:pPr>
            <w:r>
              <w:rPr>
                <w:rFonts w:ascii="Times New Roman" w:hAnsi="Times New Roman" w:cs="Times New Roman"/>
                <w:sz w:val="20"/>
                <w:szCs w:val="20"/>
              </w:rPr>
              <w:t xml:space="preserve">The main concept of this journal was communication, specifically the barriers to communication caused by PPE and various methods to help improve communication. Another concept related to this experience was person family centered care. When looking into alternatives like technology, we had to consider whether privacy issues and value conflicts would interfere. Since families and patients both enjoyed the systems, it seems as though it has lots of potential.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6AA8F1E"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8A7EA01" w14:textId="77777777" w:rsidR="00904384" w:rsidRDefault="00904384" w:rsidP="00CF6D4E">
            <w:pPr>
              <w:rPr>
                <w:rFonts w:ascii="Times New Roman" w:hAnsi="Times New Roman" w:cs="Times New Roman"/>
                <w:sz w:val="20"/>
                <w:szCs w:val="20"/>
              </w:rPr>
            </w:pPr>
          </w:p>
          <w:p w14:paraId="05B62EFD" w14:textId="1DB7C524" w:rsidR="00904384" w:rsidRPr="007422BF" w:rsidRDefault="00452961" w:rsidP="00904384">
            <w:pPr>
              <w:ind w:left="720" w:hanging="720"/>
              <w:rPr>
                <w:rFonts w:ascii="Times New Roman" w:hAnsi="Times New Roman" w:cs="Times New Roman"/>
                <w:sz w:val="20"/>
                <w:szCs w:val="20"/>
              </w:rPr>
            </w:pPr>
            <w:r>
              <w:rPr>
                <w:rFonts w:ascii="Times New Roman" w:hAnsi="Times New Roman" w:cs="Times New Roman"/>
                <w:sz w:val="20"/>
                <w:szCs w:val="20"/>
              </w:rPr>
              <w:t>Schlosser, M., Adao, K., Derkyi, A., Fitzgerald-Monroe, A, Ebenezer, L. &amp; Eckes, E</w:t>
            </w:r>
            <w:r w:rsidR="00904384" w:rsidRPr="00904384">
              <w:rPr>
                <w:rFonts w:ascii="Times New Roman" w:hAnsi="Times New Roman" w:cs="Times New Roman"/>
                <w:sz w:val="20"/>
                <w:szCs w:val="20"/>
              </w:rPr>
              <w:t>. (</w:t>
            </w:r>
            <w:r>
              <w:rPr>
                <w:rFonts w:ascii="Times New Roman" w:hAnsi="Times New Roman" w:cs="Times New Roman"/>
                <w:sz w:val="20"/>
                <w:szCs w:val="20"/>
              </w:rPr>
              <w:t>2021</w:t>
            </w:r>
            <w:r w:rsidR="00904384" w:rsidRPr="00904384">
              <w:rPr>
                <w:rFonts w:ascii="Times New Roman" w:hAnsi="Times New Roman" w:cs="Times New Roman"/>
                <w:sz w:val="20"/>
                <w:szCs w:val="20"/>
              </w:rPr>
              <w:t xml:space="preserve">). </w:t>
            </w:r>
            <w:r>
              <w:rPr>
                <w:rFonts w:ascii="Times New Roman" w:hAnsi="Times New Roman" w:cs="Times New Roman"/>
                <w:sz w:val="20"/>
                <w:szCs w:val="20"/>
              </w:rPr>
              <w:t>C</w:t>
            </w:r>
            <w:r w:rsidRPr="00452961">
              <w:rPr>
                <w:rFonts w:ascii="Times New Roman" w:hAnsi="Times New Roman" w:cs="Times New Roman"/>
                <w:sz w:val="20"/>
                <w:szCs w:val="20"/>
              </w:rPr>
              <w:t>ommunication challenges in high-containment clinical environments</w:t>
            </w:r>
            <w:r w:rsidR="00904384" w:rsidRPr="00904384">
              <w:rPr>
                <w:rFonts w:ascii="Times New Roman" w:hAnsi="Times New Roman" w:cs="Times New Roman"/>
                <w:sz w:val="20"/>
                <w:szCs w:val="20"/>
              </w:rPr>
              <w:t xml:space="preserve">. </w:t>
            </w:r>
            <w:r>
              <w:rPr>
                <w:rFonts w:ascii="Times New Roman" w:hAnsi="Times New Roman" w:cs="Times New Roman"/>
                <w:i/>
                <w:iCs/>
                <w:sz w:val="20"/>
                <w:szCs w:val="20"/>
              </w:rPr>
              <w:t>American Journal of Nursing</w:t>
            </w:r>
            <w:r w:rsidR="00904384" w:rsidRPr="00904384">
              <w:rPr>
                <w:rFonts w:ascii="Times New Roman" w:hAnsi="Times New Roman" w:cs="Times New Roman"/>
                <w:i/>
                <w:iCs/>
                <w:sz w:val="20"/>
                <w:szCs w:val="20"/>
              </w:rPr>
              <w:t>, 1</w:t>
            </w:r>
            <w:r>
              <w:rPr>
                <w:rFonts w:ascii="Times New Roman" w:hAnsi="Times New Roman" w:cs="Times New Roman"/>
                <w:i/>
                <w:iCs/>
                <w:sz w:val="20"/>
                <w:szCs w:val="20"/>
              </w:rPr>
              <w:t>21</w:t>
            </w:r>
            <w:r w:rsidR="00904384" w:rsidRPr="00904384">
              <w:rPr>
                <w:rFonts w:ascii="Times New Roman" w:hAnsi="Times New Roman" w:cs="Times New Roman"/>
                <w:sz w:val="20"/>
                <w:szCs w:val="20"/>
              </w:rPr>
              <w:t>(</w:t>
            </w:r>
            <w:r>
              <w:rPr>
                <w:rFonts w:ascii="Times New Roman" w:hAnsi="Times New Roman" w:cs="Times New Roman"/>
                <w:sz w:val="20"/>
                <w:szCs w:val="20"/>
              </w:rPr>
              <w:t>2</w:t>
            </w:r>
            <w:r w:rsidR="00904384" w:rsidRPr="00904384">
              <w:rPr>
                <w:rFonts w:ascii="Times New Roman" w:hAnsi="Times New Roman" w:cs="Times New Roman"/>
                <w:sz w:val="20"/>
                <w:szCs w:val="20"/>
              </w:rPr>
              <w:t xml:space="preserve">), </w:t>
            </w:r>
            <w:r>
              <w:rPr>
                <w:rFonts w:ascii="Times New Roman" w:hAnsi="Times New Roman" w:cs="Times New Roman"/>
                <w:sz w:val="20"/>
                <w:szCs w:val="20"/>
              </w:rPr>
              <w:t>40-45</w:t>
            </w:r>
            <w:r w:rsidR="00904384" w:rsidRPr="00904384">
              <w:rPr>
                <w:rFonts w:ascii="Times New Roman" w:hAnsi="Times New Roman" w:cs="Times New Roman"/>
                <w:sz w:val="20"/>
                <w:szCs w:val="20"/>
              </w:rPr>
              <w:t xml:space="preserve">. </w:t>
            </w:r>
            <w:r w:rsidRPr="00452961">
              <w:rPr>
                <w:rFonts w:ascii="Times New Roman" w:hAnsi="Times New Roman" w:cs="Times New Roman"/>
                <w:sz w:val="20"/>
                <w:szCs w:val="20"/>
              </w:rPr>
              <w:t>doi:10.1097/01.NAJ.0000733424.64237.42</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B1E96">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88A33" w14:textId="77777777" w:rsidR="00777336" w:rsidRDefault="00777336" w:rsidP="00D255D8">
      <w:pPr>
        <w:spacing w:after="0" w:line="240" w:lineRule="auto"/>
      </w:pPr>
      <w:r>
        <w:separator/>
      </w:r>
    </w:p>
  </w:endnote>
  <w:endnote w:type="continuationSeparator" w:id="0">
    <w:p w14:paraId="1B38F957" w14:textId="77777777" w:rsidR="00777336" w:rsidRDefault="00777336" w:rsidP="00D255D8">
      <w:pPr>
        <w:spacing w:after="0" w:line="240" w:lineRule="auto"/>
      </w:pPr>
      <w:r>
        <w:continuationSeparator/>
      </w:r>
    </w:p>
  </w:endnote>
  <w:endnote w:type="continuationNotice" w:id="1">
    <w:p w14:paraId="7BC8E425" w14:textId="77777777" w:rsidR="00777336" w:rsidRDefault="00777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9017" w14:textId="7193C546" w:rsidR="000427BC" w:rsidRPr="00D255D8" w:rsidRDefault="000427BC" w:rsidP="00D255D8">
    <w:pPr>
      <w:pStyle w:val="Footer"/>
    </w:pPr>
    <w:r w:rsidRPr="00D255D8">
      <w:t>2015_Bondy, Deshaies, &amp; Serafimovski</w:t>
    </w:r>
    <w:r>
      <w:t xml:space="preserve"> </w:t>
    </w:r>
    <w:r w:rsidRPr="00D255D8">
      <w:t>(Adapted from the work of S. Baxter, 2009-2010)</w:t>
    </w:r>
    <w:r>
      <w:t xml:space="preserve">; </w:t>
    </w:r>
    <w:r w:rsidRPr="00D255D8">
      <w:t>Revised 2018</w:t>
    </w:r>
    <w:r>
      <w:t>; Revised June 2020</w:t>
    </w:r>
  </w:p>
  <w:p w14:paraId="68616B57" w14:textId="77777777" w:rsidR="000427BC" w:rsidRPr="007422BF" w:rsidRDefault="0004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B02D" w14:textId="77777777" w:rsidR="00777336" w:rsidRDefault="00777336" w:rsidP="00D255D8">
      <w:pPr>
        <w:spacing w:after="0" w:line="240" w:lineRule="auto"/>
      </w:pPr>
      <w:r>
        <w:separator/>
      </w:r>
    </w:p>
  </w:footnote>
  <w:footnote w:type="continuationSeparator" w:id="0">
    <w:p w14:paraId="3C095019" w14:textId="77777777" w:rsidR="00777336" w:rsidRDefault="00777336" w:rsidP="00D255D8">
      <w:pPr>
        <w:spacing w:after="0" w:line="240" w:lineRule="auto"/>
      </w:pPr>
      <w:r>
        <w:continuationSeparator/>
      </w:r>
    </w:p>
  </w:footnote>
  <w:footnote w:type="continuationNotice" w:id="1">
    <w:p w14:paraId="187DCA8D" w14:textId="77777777" w:rsidR="00777336" w:rsidRDefault="00777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78" w:type="dxa"/>
      <w:tblLayout w:type="fixed"/>
      <w:tblLook w:val="06A0" w:firstRow="1" w:lastRow="0" w:firstColumn="1" w:lastColumn="0" w:noHBand="1" w:noVBand="1"/>
    </w:tblPr>
    <w:tblGrid>
      <w:gridCol w:w="13008"/>
      <w:gridCol w:w="5670"/>
    </w:tblGrid>
    <w:tr w:rsidR="000427BC" w14:paraId="6338C1BF" w14:textId="77777777" w:rsidTr="002254DA">
      <w:tc>
        <w:tcPr>
          <w:tcW w:w="13008" w:type="dxa"/>
        </w:tcPr>
        <w:p w14:paraId="7A31E05F" w14:textId="77777777" w:rsidR="000427BC" w:rsidRDefault="000427BC"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00427BC" w:rsidRDefault="000427BC" w:rsidP="0FB05382">
          <w:pPr>
            <w:pStyle w:val="Header"/>
            <w:ind w:right="-115"/>
            <w:jc w:val="right"/>
          </w:pPr>
        </w:p>
      </w:tc>
    </w:tr>
  </w:tbl>
  <w:p w14:paraId="136D9674" w14:textId="77777777" w:rsidR="000427BC" w:rsidRDefault="000427BC"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216320269"/>
      <w:docPartObj>
        <w:docPartGallery w:val="Page Numbers (Top of Page)"/>
        <w:docPartUnique/>
      </w:docPartObj>
    </w:sdtPr>
    <w:sdtEndPr>
      <w:rPr>
        <w:noProof/>
      </w:rPr>
    </w:sdtEndPr>
    <w:sdtContent>
      <w:p w14:paraId="4242C08A" w14:textId="7B936FA8" w:rsidR="000427BC" w:rsidRPr="00D35578" w:rsidRDefault="000427BC">
        <w:pPr>
          <w:pStyle w:val="Header"/>
          <w:jc w:val="right"/>
          <w:rPr>
            <w:rFonts w:asciiTheme="majorBidi" w:hAnsiTheme="majorBidi" w:cstheme="majorBidi"/>
            <w:sz w:val="24"/>
            <w:szCs w:val="24"/>
          </w:rPr>
        </w:pPr>
        <w:r w:rsidRPr="00D35578">
          <w:rPr>
            <w:rFonts w:asciiTheme="majorBidi" w:hAnsiTheme="majorBidi" w:cstheme="majorBidi"/>
            <w:sz w:val="24"/>
            <w:szCs w:val="24"/>
          </w:rPr>
          <w:fldChar w:fldCharType="begin"/>
        </w:r>
        <w:r w:rsidRPr="00D35578">
          <w:rPr>
            <w:rFonts w:asciiTheme="majorBidi" w:hAnsiTheme="majorBidi" w:cstheme="majorBidi"/>
            <w:sz w:val="24"/>
            <w:szCs w:val="24"/>
          </w:rPr>
          <w:instrText xml:space="preserve"> PAGE   \* MERGEFORMAT </w:instrText>
        </w:r>
        <w:r w:rsidRPr="00D35578">
          <w:rPr>
            <w:rFonts w:asciiTheme="majorBidi" w:hAnsiTheme="majorBidi" w:cstheme="majorBidi"/>
            <w:sz w:val="24"/>
            <w:szCs w:val="24"/>
          </w:rPr>
          <w:fldChar w:fldCharType="separate"/>
        </w:r>
        <w:r w:rsidRPr="00D35578">
          <w:rPr>
            <w:rFonts w:asciiTheme="majorBidi" w:hAnsiTheme="majorBidi" w:cstheme="majorBidi"/>
            <w:noProof/>
            <w:sz w:val="24"/>
            <w:szCs w:val="24"/>
          </w:rPr>
          <w:t>2</w:t>
        </w:r>
        <w:r w:rsidRPr="00D35578">
          <w:rPr>
            <w:rFonts w:asciiTheme="majorBidi" w:hAnsiTheme="majorBidi" w:cstheme="majorBidi"/>
            <w:noProof/>
            <w:sz w:val="24"/>
            <w:szCs w:val="24"/>
          </w:rPr>
          <w:fldChar w:fldCharType="end"/>
        </w:r>
      </w:p>
    </w:sdtContent>
  </w:sdt>
  <w:p w14:paraId="3E8C56B2" w14:textId="77777777" w:rsidR="000427BC" w:rsidRPr="00D35578" w:rsidRDefault="000427BC">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00B3D"/>
    <w:rsid w:val="00030E30"/>
    <w:rsid w:val="00042601"/>
    <w:rsid w:val="000427BC"/>
    <w:rsid w:val="00052F5A"/>
    <w:rsid w:val="0009541C"/>
    <w:rsid w:val="000D752F"/>
    <w:rsid w:val="00142EDE"/>
    <w:rsid w:val="002254DA"/>
    <w:rsid w:val="00241FF5"/>
    <w:rsid w:val="002514B8"/>
    <w:rsid w:val="002B1A4C"/>
    <w:rsid w:val="002C6914"/>
    <w:rsid w:val="002D5FD6"/>
    <w:rsid w:val="00346203"/>
    <w:rsid w:val="003819F0"/>
    <w:rsid w:val="003D2769"/>
    <w:rsid w:val="003F2B48"/>
    <w:rsid w:val="0041372E"/>
    <w:rsid w:val="00426C65"/>
    <w:rsid w:val="004407FB"/>
    <w:rsid w:val="00452961"/>
    <w:rsid w:val="005715BA"/>
    <w:rsid w:val="0058656A"/>
    <w:rsid w:val="00594E70"/>
    <w:rsid w:val="00686E20"/>
    <w:rsid w:val="00695A6D"/>
    <w:rsid w:val="006A4D3E"/>
    <w:rsid w:val="00723C46"/>
    <w:rsid w:val="007422BF"/>
    <w:rsid w:val="00776625"/>
    <w:rsid w:val="00777336"/>
    <w:rsid w:val="00785D99"/>
    <w:rsid w:val="007B75B0"/>
    <w:rsid w:val="007D76E5"/>
    <w:rsid w:val="00806FF4"/>
    <w:rsid w:val="00834B50"/>
    <w:rsid w:val="008B1E96"/>
    <w:rsid w:val="009012BC"/>
    <w:rsid w:val="00904384"/>
    <w:rsid w:val="00940F4B"/>
    <w:rsid w:val="00953A92"/>
    <w:rsid w:val="00994D22"/>
    <w:rsid w:val="00A02225"/>
    <w:rsid w:val="00A1205F"/>
    <w:rsid w:val="00A55BE6"/>
    <w:rsid w:val="00A83ECB"/>
    <w:rsid w:val="00A90333"/>
    <w:rsid w:val="00AD1772"/>
    <w:rsid w:val="00AF176C"/>
    <w:rsid w:val="00B51E95"/>
    <w:rsid w:val="00B74F69"/>
    <w:rsid w:val="00B9559F"/>
    <w:rsid w:val="00BE152F"/>
    <w:rsid w:val="00C25D63"/>
    <w:rsid w:val="00C64200"/>
    <w:rsid w:val="00CC6416"/>
    <w:rsid w:val="00CF6D4E"/>
    <w:rsid w:val="00D255D8"/>
    <w:rsid w:val="00D35578"/>
    <w:rsid w:val="00D4472E"/>
    <w:rsid w:val="00D45B8C"/>
    <w:rsid w:val="00DD2EE1"/>
    <w:rsid w:val="00E047B6"/>
    <w:rsid w:val="00E74BB6"/>
    <w:rsid w:val="00F07A8E"/>
    <w:rsid w:val="00F305D4"/>
    <w:rsid w:val="00F421DF"/>
    <w:rsid w:val="00F45C32"/>
    <w:rsid w:val="00FC7C97"/>
    <w:rsid w:val="00FD28AA"/>
    <w:rsid w:val="00FE6EB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 w:id="18854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13</cp:revision>
  <dcterms:created xsi:type="dcterms:W3CDTF">2020-07-02T18:15:00Z</dcterms:created>
  <dcterms:modified xsi:type="dcterms:W3CDTF">2021-02-11T01:00:00Z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