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90EB6" w14:textId="77777777" w:rsidR="00EB0A8B" w:rsidRDefault="00EB0A8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73F70" w14:paraId="455A749C" w14:textId="77777777" w:rsidTr="00EB0A8B">
        <w:trPr>
          <w:trHeight w:val="12606"/>
        </w:trPr>
        <w:tc>
          <w:tcPr>
            <w:tcW w:w="9350" w:type="dxa"/>
            <w:vAlign w:val="center"/>
          </w:tcPr>
          <w:p w14:paraId="56F1EB60" w14:textId="5237F194" w:rsidR="00693DCD" w:rsidRDefault="00693DCD" w:rsidP="00EB0A8B">
            <w:pPr>
              <w:spacing w:after="200" w:line="480" w:lineRule="auto"/>
              <w:jc w:val="center"/>
            </w:pPr>
            <w:r>
              <w:t>Physical Fitness of Nurses</w:t>
            </w:r>
          </w:p>
          <w:p w14:paraId="10DB4C8E" w14:textId="7D3393F8" w:rsidR="00773F70" w:rsidRDefault="00674164" w:rsidP="00EB0A8B">
            <w:pPr>
              <w:spacing w:after="200" w:line="480" w:lineRule="auto"/>
              <w:jc w:val="center"/>
            </w:pPr>
            <w:r>
              <w:t>110007510</w:t>
            </w:r>
          </w:p>
          <w:p w14:paraId="7A653B71" w14:textId="77777777" w:rsidR="00773F70" w:rsidRDefault="00773F70" w:rsidP="00EB0A8B">
            <w:pPr>
              <w:spacing w:after="200" w:line="480" w:lineRule="auto"/>
              <w:jc w:val="center"/>
            </w:pPr>
            <w:r>
              <w:t>University of Windsor</w:t>
            </w:r>
          </w:p>
          <w:p w14:paraId="63D389CD" w14:textId="260D1EB8" w:rsidR="00674164" w:rsidRPr="00773F70" w:rsidRDefault="00674164" w:rsidP="00EB0A8B">
            <w:pPr>
              <w:spacing w:after="200" w:line="480" w:lineRule="auto"/>
              <w:jc w:val="center"/>
            </w:pPr>
            <w:r>
              <w:t>October 28, 2019</w:t>
            </w:r>
          </w:p>
        </w:tc>
      </w:tr>
    </w:tbl>
    <w:p w14:paraId="3B2A3848" w14:textId="4301C494" w:rsidR="00B638F8" w:rsidRDefault="00B638F8">
      <w:pPr>
        <w:spacing w:after="200" w:line="276" w:lineRule="auto"/>
        <w:rPr>
          <w:b/>
          <w:bCs/>
          <w:i/>
          <w:iCs/>
        </w:rPr>
        <w:sectPr w:rsidR="00B638F8" w:rsidSect="00773F70">
          <w:headerReference w:type="default" r:id="rId10"/>
          <w:footerReference w:type="default" r:id="rId11"/>
          <w:head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72A6659" w14:textId="451A3928" w:rsidR="00402ACC" w:rsidRPr="00A23329" w:rsidRDefault="6B4103C7" w:rsidP="00694260">
      <w:pPr>
        <w:keepLines/>
        <w:suppressAutoHyphens/>
        <w:spacing w:after="20"/>
        <w:jc w:val="center"/>
        <w:rPr>
          <w:b/>
          <w:bCs/>
          <w:i/>
          <w:iCs/>
        </w:rPr>
      </w:pPr>
      <w:r w:rsidRPr="6B4103C7">
        <w:rPr>
          <w:b/>
          <w:bCs/>
          <w:i/>
          <w:iCs/>
        </w:rPr>
        <w:lastRenderedPageBreak/>
        <w:t>Experiential Learning Lab I Reflective Journal</w:t>
      </w:r>
    </w:p>
    <w:tbl>
      <w:tblPr>
        <w:tblW w:w="13428" w:type="dxa"/>
        <w:tblLook w:val="04A0" w:firstRow="1" w:lastRow="0" w:firstColumn="1" w:lastColumn="0" w:noHBand="0" w:noVBand="1"/>
      </w:tblPr>
      <w:tblGrid>
        <w:gridCol w:w="1417"/>
        <w:gridCol w:w="316"/>
        <w:gridCol w:w="4973"/>
        <w:gridCol w:w="898"/>
        <w:gridCol w:w="1395"/>
        <w:gridCol w:w="1806"/>
        <w:gridCol w:w="2377"/>
        <w:gridCol w:w="246"/>
      </w:tblGrid>
      <w:tr w:rsidR="001F304A" w:rsidRPr="00AE3489" w14:paraId="3F429030" w14:textId="77777777" w:rsidTr="00475A98">
        <w:trPr>
          <w:gridAfter w:val="1"/>
          <w:wAfter w:w="249" w:type="dxa"/>
        </w:trPr>
        <w:tc>
          <w:tcPr>
            <w:tcW w:w="1453" w:type="dxa"/>
            <w:gridSpan w:val="2"/>
          </w:tcPr>
          <w:p w14:paraId="5ED90B35" w14:textId="77777777" w:rsidR="001F304A" w:rsidRPr="007C3FDF" w:rsidRDefault="001F304A" w:rsidP="00694260">
            <w:pPr>
              <w:keepLines/>
              <w:suppressAutoHyphens/>
              <w:spacing w:after="20"/>
              <w:rPr>
                <w:b/>
              </w:rPr>
            </w:pPr>
            <w:r w:rsidRPr="007C3FDF">
              <w:rPr>
                <w:b/>
              </w:rPr>
              <w:t>Name:</w:t>
            </w:r>
          </w:p>
        </w:tc>
        <w:tc>
          <w:tcPr>
            <w:tcW w:w="5137" w:type="dxa"/>
            <w:tcBorders>
              <w:bottom w:val="single" w:sz="4" w:space="0" w:color="auto"/>
            </w:tcBorders>
          </w:tcPr>
          <w:p w14:paraId="0A37501D" w14:textId="62B9516A" w:rsidR="001F304A" w:rsidRPr="00AE3489" w:rsidRDefault="00523C65" w:rsidP="00694260">
            <w:pPr>
              <w:keepLines/>
              <w:suppressAutoHyphens/>
              <w:spacing w:after="20"/>
            </w:pPr>
            <w:r>
              <w:t>Reem Boudali</w:t>
            </w:r>
          </w:p>
        </w:tc>
        <w:tc>
          <w:tcPr>
            <w:tcW w:w="898" w:type="dxa"/>
          </w:tcPr>
          <w:p w14:paraId="7E4D28DD" w14:textId="77777777" w:rsidR="001F304A" w:rsidRPr="007C3FDF" w:rsidRDefault="001F304A" w:rsidP="00694260">
            <w:pPr>
              <w:keepLines/>
              <w:suppressAutoHyphens/>
              <w:spacing w:after="20"/>
              <w:rPr>
                <w:b/>
              </w:rPr>
            </w:pPr>
            <w:r w:rsidRPr="007C3FDF">
              <w:rPr>
                <w:b/>
              </w:rPr>
              <w:t>Week: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DAB6C7B" w14:textId="353A7D9F" w:rsidR="001F304A" w:rsidRPr="00AE3489" w:rsidRDefault="00634D7C" w:rsidP="00694260">
            <w:pPr>
              <w:keepLines/>
              <w:suppressAutoHyphens/>
              <w:spacing w:after="20"/>
            </w:pPr>
            <w:r>
              <w:t>8</w:t>
            </w:r>
          </w:p>
        </w:tc>
        <w:tc>
          <w:tcPr>
            <w:tcW w:w="1813" w:type="dxa"/>
          </w:tcPr>
          <w:p w14:paraId="6BB81F74" w14:textId="77777777" w:rsidR="001F304A" w:rsidRPr="00AE3489" w:rsidRDefault="001F304A" w:rsidP="00694260">
            <w:pPr>
              <w:keepLines/>
              <w:suppressAutoHyphens/>
              <w:spacing w:after="20"/>
            </w:pPr>
            <w:r>
              <w:t>Date Submitted: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02EB378F" w14:textId="32BDC624" w:rsidR="001F304A" w:rsidRPr="00AE3489" w:rsidRDefault="00634D7C" w:rsidP="00694260">
            <w:pPr>
              <w:keepLines/>
              <w:suppressAutoHyphens/>
              <w:spacing w:after="20"/>
            </w:pPr>
            <w:r>
              <w:t>October 28, 2019</w:t>
            </w:r>
          </w:p>
        </w:tc>
      </w:tr>
      <w:tr w:rsidR="001F304A" w:rsidRPr="00327B84" w14:paraId="3C60CCBA" w14:textId="77777777" w:rsidTr="00475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52F2" w14:textId="77777777" w:rsidR="001F304A" w:rsidRPr="00156364" w:rsidRDefault="001F304A" w:rsidP="00694260">
            <w:pPr>
              <w:keepLines/>
              <w:suppressAutoHyphens/>
              <w:spacing w:after="20"/>
              <w:jc w:val="center"/>
              <w:rPr>
                <w:b/>
                <w:sz w:val="28"/>
              </w:rPr>
            </w:pPr>
            <w:r w:rsidRPr="00156364">
              <w:rPr>
                <w:b/>
                <w:sz w:val="28"/>
              </w:rPr>
              <w:t>Criteria</w:t>
            </w:r>
          </w:p>
        </w:tc>
        <w:tc>
          <w:tcPr>
            <w:tcW w:w="12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1480" w14:textId="77777777" w:rsidR="001F304A" w:rsidRPr="00156364" w:rsidRDefault="001F304A" w:rsidP="00694260">
            <w:pPr>
              <w:keepLines/>
              <w:suppressAutoHyphens/>
              <w:spacing w:after="20"/>
              <w:jc w:val="center"/>
              <w:rPr>
                <w:b/>
                <w:sz w:val="28"/>
              </w:rPr>
            </w:pPr>
            <w:r w:rsidRPr="00156364">
              <w:rPr>
                <w:b/>
                <w:sz w:val="28"/>
              </w:rPr>
              <w:t>Reflective Thoughts</w:t>
            </w:r>
          </w:p>
        </w:tc>
      </w:tr>
      <w:tr w:rsidR="001F304A" w:rsidRPr="00327B84" w14:paraId="31CB6521" w14:textId="77777777" w:rsidTr="00651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6490" w14:textId="77777777" w:rsidR="001F304A" w:rsidRDefault="001F304A" w:rsidP="00694260">
            <w:pPr>
              <w:keepLines/>
              <w:suppressAutoHyphens/>
              <w:spacing w:after="20"/>
              <w:rPr>
                <w:b/>
              </w:rPr>
            </w:pPr>
            <w:r>
              <w:rPr>
                <w:b/>
              </w:rPr>
              <w:t>Look Back</w:t>
            </w:r>
            <w:r w:rsidR="00A439EA">
              <w:rPr>
                <w:b/>
              </w:rPr>
              <w:t xml:space="preserve"> (L)</w:t>
            </w:r>
            <w:r>
              <w:rPr>
                <w:b/>
              </w:rPr>
              <w:t>:</w:t>
            </w:r>
          </w:p>
          <w:p w14:paraId="486111E1" w14:textId="70E82C10" w:rsidR="001F304A" w:rsidRPr="00327B84" w:rsidRDefault="001F304A" w:rsidP="00694260">
            <w:pPr>
              <w:keepLines/>
              <w:suppressAutoHyphens/>
              <w:spacing w:after="20"/>
              <w:rPr>
                <w:b/>
                <w:bCs/>
              </w:rPr>
            </w:pPr>
          </w:p>
        </w:tc>
        <w:tc>
          <w:tcPr>
            <w:tcW w:w="12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0FFA2C95" w:rsidR="001F304A" w:rsidRPr="00327B84" w:rsidRDefault="00634D7C" w:rsidP="00694260">
            <w:pPr>
              <w:keepLines/>
              <w:suppressAutoHyphens/>
              <w:spacing w:after="20"/>
              <w:ind w:firstLine="720"/>
            </w:pPr>
            <w:r>
              <w:t xml:space="preserve">In the first lab of the semester (week 2), we </w:t>
            </w:r>
            <w:r w:rsidR="00CE7DC4">
              <w:t>lifted</w:t>
            </w:r>
            <w:r>
              <w:t xml:space="preserve"> patients in</w:t>
            </w:r>
            <w:r w:rsidR="00CE7DC4">
              <w:t xml:space="preserve"> a</w:t>
            </w:r>
            <w:r>
              <w:t xml:space="preserve"> bed with a partner. I was unable to match </w:t>
            </w:r>
            <w:r w:rsidR="00AA0253">
              <w:t>my</w:t>
            </w:r>
            <w:r>
              <w:t xml:space="preserve"> partner’s strength when raising the lift sheet, thereby putting the patient in danger of rolling out and getting injured.</w:t>
            </w:r>
          </w:p>
        </w:tc>
      </w:tr>
      <w:tr w:rsidR="001F304A" w:rsidRPr="00327B84" w14:paraId="3668DC06" w14:textId="77777777" w:rsidTr="00475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A508" w14:textId="77777777" w:rsidR="001F304A" w:rsidRDefault="001F304A" w:rsidP="00694260">
            <w:pPr>
              <w:keepLines/>
              <w:suppressAutoHyphens/>
              <w:spacing w:after="20"/>
              <w:rPr>
                <w:b/>
              </w:rPr>
            </w:pPr>
            <w:r>
              <w:rPr>
                <w:b/>
              </w:rPr>
              <w:t>Examine Experience</w:t>
            </w:r>
            <w:r w:rsidR="00A439EA">
              <w:rPr>
                <w:b/>
              </w:rPr>
              <w:t xml:space="preserve"> (E)</w:t>
            </w:r>
            <w:r>
              <w:rPr>
                <w:b/>
              </w:rPr>
              <w:t>:</w:t>
            </w:r>
          </w:p>
          <w:p w14:paraId="41C8F396" w14:textId="77777777" w:rsidR="00402ACC" w:rsidRPr="00402ACC" w:rsidRDefault="00402ACC" w:rsidP="00694260">
            <w:pPr>
              <w:keepLines/>
              <w:suppressAutoHyphens/>
              <w:spacing w:after="20"/>
              <w:ind w:left="360"/>
              <w:rPr>
                <w:b/>
              </w:rPr>
            </w:pPr>
          </w:p>
        </w:tc>
        <w:tc>
          <w:tcPr>
            <w:tcW w:w="12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B04F" w14:textId="0C13CC17" w:rsidR="001F304A" w:rsidRPr="00327B84" w:rsidRDefault="00634D7C" w:rsidP="00694260">
            <w:pPr>
              <w:keepLines/>
              <w:suppressAutoHyphens/>
              <w:spacing w:after="20"/>
              <w:ind w:firstLine="720"/>
            </w:pPr>
            <w:r>
              <w:t>During the first lab, I</w:t>
            </w:r>
            <w:r w:rsidR="00CE7DC4">
              <w:t xml:space="preserve"> practiced lifting</w:t>
            </w:r>
            <w:r>
              <w:t xml:space="preserve"> a patient in</w:t>
            </w:r>
            <w:r w:rsidR="00CE7DC4">
              <w:t xml:space="preserve"> a</w:t>
            </w:r>
            <w:r>
              <w:t xml:space="preserve"> bed</w:t>
            </w:r>
            <w:r w:rsidR="00CE7DC4">
              <w:t xml:space="preserve"> without his/her assistance;</w:t>
            </w:r>
            <w:r>
              <w:t xml:space="preserve"> M. </w:t>
            </w:r>
            <w:r w:rsidR="00CE7DC4">
              <w:t>w</w:t>
            </w:r>
            <w:r>
              <w:t>as a patient</w:t>
            </w:r>
            <w:r w:rsidR="00CE7DC4">
              <w:t>,</w:t>
            </w:r>
            <w:r>
              <w:t xml:space="preserve"> and S. </w:t>
            </w:r>
            <w:r w:rsidR="00CE7DC4">
              <w:t>w</w:t>
            </w:r>
            <w:r>
              <w:t xml:space="preserve">as the other nurse. </w:t>
            </w:r>
            <w:r w:rsidR="00CE7DC4">
              <w:t xml:space="preserve">First, </w:t>
            </w:r>
            <w:r>
              <w:t>S. and I</w:t>
            </w:r>
            <w:r w:rsidR="00CE7DC4">
              <w:t xml:space="preserve"> </w:t>
            </w:r>
            <w:r>
              <w:t>set up a lift sheet under M</w:t>
            </w:r>
            <w:r w:rsidR="00F947CC">
              <w:t xml:space="preserve">. </w:t>
            </w:r>
            <w:r w:rsidR="00CE7DC4">
              <w:t xml:space="preserve">Since S. was much taller than me, </w:t>
            </w:r>
            <w:r w:rsidR="00F947CC">
              <w:t xml:space="preserve">I felt S. </w:t>
            </w:r>
            <w:r w:rsidR="00CE7DC4">
              <w:t>raise the lift sheet</w:t>
            </w:r>
            <w:r w:rsidR="00F947CC">
              <w:t xml:space="preserve"> higher </w:t>
            </w:r>
            <w:r w:rsidR="00AA0253">
              <w:t xml:space="preserve">than </w:t>
            </w:r>
            <w:r w:rsidR="00CE7DC4">
              <w:t>I did</w:t>
            </w:r>
            <w:r w:rsidR="00F947CC">
              <w:t xml:space="preserve">. I was unable to match the height </w:t>
            </w:r>
            <w:r w:rsidR="00004068">
              <w:t xml:space="preserve">because of my lack of strength; </w:t>
            </w:r>
            <w:r w:rsidR="00F947CC">
              <w:t>as</w:t>
            </w:r>
            <w:r w:rsidR="00004068">
              <w:t xml:space="preserve"> a </w:t>
            </w:r>
            <w:r w:rsidR="00F947CC">
              <w:t>result, the lift sheet was angled</w:t>
            </w:r>
            <w:r w:rsidR="00AA0253">
              <w:t xml:space="preserve">, causing </w:t>
            </w:r>
            <w:r w:rsidR="00F947CC">
              <w:t>M. to roll towards me. M. seemed to be startled</w:t>
            </w:r>
            <w:r w:rsidR="00004068">
              <w:t xml:space="preserve">: </w:t>
            </w:r>
            <w:r w:rsidR="00F947CC">
              <w:t>I</w:t>
            </w:r>
            <w:r w:rsidR="00004068">
              <w:t xml:space="preserve"> </w:t>
            </w:r>
            <w:r w:rsidR="00F947CC">
              <w:t xml:space="preserve">heard her </w:t>
            </w:r>
            <w:r w:rsidR="00694260">
              <w:t xml:space="preserve">yelp </w:t>
            </w:r>
            <w:r w:rsidR="00F947CC">
              <w:t xml:space="preserve">in response to the sudden change. Immediately, I felt embarrassed at my inability to perform the task; it showed how </w:t>
            </w:r>
            <w:r w:rsidR="00AA0253">
              <w:t>physically weak I was</w:t>
            </w:r>
            <w:r w:rsidR="00F947CC">
              <w:t>. After reflecting on the situation, I believed that I was simply incompetent; I</w:t>
            </w:r>
            <w:r w:rsidR="00004068">
              <w:t xml:space="preserve"> failed to</w:t>
            </w:r>
            <w:r w:rsidR="00F947CC">
              <w:t xml:space="preserve"> protect the patient</w:t>
            </w:r>
            <w:r w:rsidR="00004068">
              <w:t xml:space="preserve"> </w:t>
            </w:r>
            <w:r w:rsidR="00004068">
              <w:t>properly</w:t>
            </w:r>
            <w:r w:rsidR="00F947CC">
              <w:t xml:space="preserve">. In a real situation, </w:t>
            </w:r>
            <w:r w:rsidR="00AA0253">
              <w:t>a</w:t>
            </w:r>
            <w:r w:rsidR="00F947CC">
              <w:t xml:space="preserve"> patient is at high risk of injury </w:t>
            </w:r>
            <w:r w:rsidR="00004068">
              <w:t xml:space="preserve">from </w:t>
            </w:r>
            <w:r w:rsidR="00F947CC">
              <w:t>she</w:t>
            </w:r>
            <w:r w:rsidR="00004068">
              <w:t>a</w:t>
            </w:r>
            <w:r w:rsidR="00F947CC">
              <w:t>r forces or falls if</w:t>
            </w:r>
            <w:r w:rsidR="00004068">
              <w:t xml:space="preserve"> nurses do not move them </w:t>
            </w:r>
            <w:r w:rsidR="00F947CC">
              <w:t>in a safe manner.</w:t>
            </w:r>
          </w:p>
        </w:tc>
      </w:tr>
      <w:tr w:rsidR="001F304A" w:rsidRPr="00327B84" w14:paraId="0DD8177A" w14:textId="77777777" w:rsidTr="00475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7727" w14:textId="516C4B44" w:rsidR="001F304A" w:rsidRPr="00327B84" w:rsidRDefault="6B4103C7" w:rsidP="00694260">
            <w:pPr>
              <w:keepLines/>
              <w:suppressAutoHyphens/>
              <w:spacing w:after="20"/>
              <w:rPr>
                <w:b/>
                <w:bCs/>
              </w:rPr>
            </w:pPr>
            <w:r w:rsidRPr="6B4103C7">
              <w:rPr>
                <w:b/>
                <w:bCs/>
              </w:rPr>
              <w:t xml:space="preserve">Appraise &amp; Analyze the Lab Event </w:t>
            </w:r>
          </w:p>
          <w:p w14:paraId="5711CC2F" w14:textId="77777777" w:rsidR="001F304A" w:rsidRPr="00511806" w:rsidRDefault="001F304A" w:rsidP="00694260">
            <w:pPr>
              <w:keepLines/>
              <w:suppressAutoHyphens/>
              <w:spacing w:after="20"/>
              <w:rPr>
                <w:b/>
              </w:rPr>
            </w:pPr>
            <w:r w:rsidRPr="00511806">
              <w:rPr>
                <w:b/>
              </w:rPr>
              <w:t xml:space="preserve">Compare and contrast:  </w:t>
            </w:r>
          </w:p>
          <w:p w14:paraId="6813FB8E" w14:textId="76D6A615" w:rsidR="001F304A" w:rsidRPr="00327B84" w:rsidRDefault="00911353" w:rsidP="00694260">
            <w:pPr>
              <w:keepLines/>
              <w:suppressAutoHyphens/>
              <w:spacing w:after="20"/>
            </w:pPr>
            <w:r>
              <w:t xml:space="preserve"> </w:t>
            </w:r>
          </w:p>
        </w:tc>
        <w:tc>
          <w:tcPr>
            <w:tcW w:w="12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C0B6" w14:textId="44670742" w:rsidR="004B2416" w:rsidRDefault="00004068" w:rsidP="00694260">
            <w:pPr>
              <w:keepLines/>
              <w:suppressAutoHyphens/>
              <w:spacing w:after="20"/>
              <w:ind w:firstLine="720"/>
            </w:pPr>
            <w:r>
              <w:t>My</w:t>
            </w:r>
            <w:r>
              <w:t xml:space="preserve"> lack of physical fitness</w:t>
            </w:r>
            <w:r>
              <w:t xml:space="preserve"> almost injured M.</w:t>
            </w:r>
            <w:r w:rsidR="00A77A7F">
              <w:t xml:space="preserve">. Although fitness to practice is one of the </w:t>
            </w:r>
            <w:proofErr w:type="gramStart"/>
            <w:r w:rsidR="00CD5632">
              <w:t>entry</w:t>
            </w:r>
            <w:proofErr w:type="gramEnd"/>
            <w:r w:rsidR="00A77A7F">
              <w:t xml:space="preserve"> to competencies </w:t>
            </w:r>
            <w:r w:rsidR="00651380">
              <w:t>decided</w:t>
            </w:r>
            <w:r w:rsidR="00A77A7F">
              <w:t xml:space="preserve"> by the College of Nurses of Ontario (CNO), there is no quantitative measure of what physical fitness entails ([CNO], 2014). </w:t>
            </w:r>
            <w:r w:rsidR="009C164D">
              <w:t xml:space="preserve">The article I found </w:t>
            </w:r>
            <w:r w:rsidR="00076612">
              <w:t>discussed</w:t>
            </w:r>
            <w:r w:rsidR="009C164D">
              <w:t xml:space="preserve"> a </w:t>
            </w:r>
            <w:r w:rsidR="009C164D" w:rsidRPr="00AA0253">
              <w:t>study</w:t>
            </w:r>
            <w:r w:rsidR="00076612">
              <w:rPr>
                <w:color w:val="222222"/>
                <w:shd w:val="clear" w:color="auto" w:fill="FFFFFF"/>
              </w:rPr>
              <w:t xml:space="preserve"> </w:t>
            </w:r>
            <w:r w:rsidR="009C164D">
              <w:t>on nursing students in Thailand</w:t>
            </w:r>
            <w:r w:rsidR="00076612">
              <w:t>, where</w:t>
            </w:r>
            <w:r w:rsidR="009C164D">
              <w:t xml:space="preserve"> </w:t>
            </w:r>
            <w:r w:rsidR="00076612">
              <w:t>researchers</w:t>
            </w:r>
            <w:r w:rsidR="009C164D">
              <w:t xml:space="preserve"> concluded that the overall health of the students ranged from poor to moderate. Furthermore, the</w:t>
            </w:r>
            <w:r w:rsidR="00076612">
              <w:t xml:space="preserve"> researchers</w:t>
            </w:r>
            <w:r w:rsidR="009C164D">
              <w:t xml:space="preserve"> referenced similar studies completed in the UK, Germany, and Spain that </w:t>
            </w:r>
            <w:r w:rsidR="00694260">
              <w:t xml:space="preserve">mirrored their </w:t>
            </w:r>
            <w:r w:rsidR="009C164D">
              <w:t xml:space="preserve">results. </w:t>
            </w:r>
            <w:proofErr w:type="spellStart"/>
            <w:r w:rsidR="004B2416">
              <w:t>Piyanee</w:t>
            </w:r>
            <w:proofErr w:type="spellEnd"/>
            <w:r w:rsidR="004B2416">
              <w:t xml:space="preserve">, Hong-Gu, and Ying (2015) </w:t>
            </w:r>
            <w:r w:rsidR="009C164D">
              <w:t xml:space="preserve">reasoned that </w:t>
            </w:r>
            <w:r w:rsidR="00694260">
              <w:t>nursing students’ physical health should not be so poor</w:t>
            </w:r>
            <w:r w:rsidR="009C164D">
              <w:t xml:space="preserve"> </w:t>
            </w:r>
            <w:r w:rsidR="005247F7">
              <w:t>considering</w:t>
            </w:r>
            <w:r w:rsidR="009C164D">
              <w:t xml:space="preserve"> </w:t>
            </w:r>
            <w:r w:rsidR="00076612">
              <w:t xml:space="preserve">nurses learn </w:t>
            </w:r>
            <w:r w:rsidR="009C164D">
              <w:t>about the importance</w:t>
            </w:r>
            <w:r w:rsidR="004B2416">
              <w:t xml:space="preserve"> </w:t>
            </w:r>
            <w:r w:rsidR="00076612">
              <w:t xml:space="preserve">of </w:t>
            </w:r>
            <w:r w:rsidR="004B2416">
              <w:t>health</w:t>
            </w:r>
            <w:r w:rsidR="00076612">
              <w:t>ful</w:t>
            </w:r>
            <w:r w:rsidR="004B2416">
              <w:t xml:space="preserve"> habits.</w:t>
            </w:r>
            <w:r w:rsidR="009C164D">
              <w:t xml:space="preserve"> </w:t>
            </w:r>
            <w:r w:rsidR="004B2416">
              <w:t>I agree with their conclusions</w:t>
            </w:r>
            <w:r w:rsidR="00AA0253">
              <w:t>:</w:t>
            </w:r>
            <w:r w:rsidR="004B2416">
              <w:t xml:space="preserve"> if a nurse can keep others healthy, they should have no problem doing the same for themselves.</w:t>
            </w:r>
            <w:r w:rsidR="00475A98">
              <w:t xml:space="preserve"> </w:t>
            </w:r>
            <w:r w:rsidR="00076612">
              <w:t>R</w:t>
            </w:r>
            <w:r w:rsidR="00475A98">
              <w:t>eality</w:t>
            </w:r>
            <w:r w:rsidR="00076612">
              <w:t>, however,</w:t>
            </w:r>
            <w:r w:rsidR="00475A98">
              <w:t xml:space="preserve"> does not agree. Although I want to be active, </w:t>
            </w:r>
            <w:r w:rsidR="00803882">
              <w:t>I cannot fit exercise into my busy schedule</w:t>
            </w:r>
            <w:r w:rsidR="00475A98">
              <w:t>. I believe n</w:t>
            </w:r>
            <w:r w:rsidR="00EA60F6">
              <w:t xml:space="preserve">ursing is a very self-regulated field where nurses constantly need to </w:t>
            </w:r>
            <w:r w:rsidR="00803882">
              <w:t>ensure that they meet policy standards and strive for improvement</w:t>
            </w:r>
            <w:r w:rsidR="00EA60F6">
              <w:t>. Nursing does</w:t>
            </w:r>
            <w:r w:rsidR="004B2416">
              <w:t xml:space="preserve"> no</w:t>
            </w:r>
            <w:r w:rsidR="00EA60F6">
              <w:t>t have the constancy of other professions</w:t>
            </w:r>
            <w:r w:rsidR="00803882">
              <w:t>:</w:t>
            </w:r>
            <w:r w:rsidR="00EA60F6">
              <w:t xml:space="preserve"> </w:t>
            </w:r>
            <w:r w:rsidR="00803882">
              <w:t>every patient is different, so a</w:t>
            </w:r>
            <w:r w:rsidR="00EA60F6">
              <w:t xml:space="preserve"> nurse needs to be flexible</w:t>
            </w:r>
            <w:r w:rsidR="00651380">
              <w:t xml:space="preserve"> and fit</w:t>
            </w:r>
            <w:r w:rsidR="00EA60F6">
              <w:t xml:space="preserve"> </w:t>
            </w:r>
            <w:r w:rsidR="00803882">
              <w:t xml:space="preserve">enough </w:t>
            </w:r>
            <w:r w:rsidR="00EA60F6">
              <w:t xml:space="preserve">to tackle </w:t>
            </w:r>
            <w:r w:rsidR="00803882">
              <w:t xml:space="preserve">any </w:t>
            </w:r>
            <w:r w:rsidR="00EA60F6">
              <w:t>situation</w:t>
            </w:r>
            <w:r w:rsidR="00803882">
              <w:t>.</w:t>
            </w:r>
          </w:p>
          <w:p w14:paraId="560FBBAE" w14:textId="2FCF6529" w:rsidR="00475A98" w:rsidRDefault="00803882" w:rsidP="00694260">
            <w:pPr>
              <w:keepLines/>
              <w:suppressAutoHyphens/>
              <w:spacing w:after="20"/>
              <w:ind w:firstLine="739"/>
            </w:pPr>
            <w:r>
              <w:t>Similarly</w:t>
            </w:r>
            <w:r w:rsidR="00AA0253">
              <w:t>, t</w:t>
            </w:r>
            <w:r w:rsidR="00475A98">
              <w:t xml:space="preserve">he </w:t>
            </w:r>
            <w:r w:rsidR="00EA60F6">
              <w:t>therapeutic nurs</w:t>
            </w:r>
            <w:r w:rsidR="00607C35">
              <w:t>e</w:t>
            </w:r>
            <w:r w:rsidR="00EA60F6">
              <w:t>-client relationship is based on trust; hence</w:t>
            </w:r>
            <w:r w:rsidR="00475A98">
              <w:t>,</w:t>
            </w:r>
            <w:r w:rsidR="00EA60F6">
              <w:t xml:space="preserve"> </w:t>
            </w:r>
            <w:r w:rsidR="00475A98">
              <w:t>from the patient’s perspective, the nurse should be</w:t>
            </w:r>
            <w:r w:rsidR="00EA60F6">
              <w:t xml:space="preserve"> fully capable of providing safe care. The client expects this of the nurse and if </w:t>
            </w:r>
            <w:r w:rsidR="00AA0253">
              <w:t xml:space="preserve">this expectation is not </w:t>
            </w:r>
            <w:r w:rsidR="00EA60F6">
              <w:t>met</w:t>
            </w:r>
            <w:r w:rsidR="00AA0253">
              <w:t>,</w:t>
            </w:r>
            <w:r w:rsidR="00EA60F6">
              <w:t xml:space="preserve"> the trust in the relationship can be broken</w:t>
            </w:r>
            <w:r w:rsidR="00475A98">
              <w:t xml:space="preserve">. </w:t>
            </w:r>
            <w:r w:rsidR="00AA0253">
              <w:t>Without</w:t>
            </w:r>
            <w:r w:rsidR="00607C35">
              <w:t xml:space="preserve"> a proper nurse-client relationship, </w:t>
            </w:r>
            <w:r>
              <w:t xml:space="preserve">delivering </w:t>
            </w:r>
            <w:r w:rsidR="00607C35">
              <w:t xml:space="preserve">care is much more challenging. </w:t>
            </w:r>
            <w:r>
              <w:t>Even n</w:t>
            </w:r>
            <w:r w:rsidR="00475A98">
              <w:t xml:space="preserve">urses themselves </w:t>
            </w:r>
            <w:r w:rsidR="00607C35" w:rsidRPr="00694260">
              <w:t>affirm</w:t>
            </w:r>
            <w:r w:rsidR="00607C35">
              <w:t xml:space="preserve"> that</w:t>
            </w:r>
            <w:r w:rsidR="00EA60F6">
              <w:t xml:space="preserve"> they should provide the best care within their limits</w:t>
            </w:r>
            <w:r w:rsidR="00475A98">
              <w:t xml:space="preserve">. </w:t>
            </w:r>
            <w:r w:rsidR="002300AC">
              <w:t xml:space="preserve">Society also holds nurses to a high standard </w:t>
            </w:r>
            <w:r w:rsidR="005247F7">
              <w:t>since</w:t>
            </w:r>
            <w:r w:rsidR="002300AC">
              <w:t xml:space="preserve"> they care for weak individuals. </w:t>
            </w:r>
            <w:r w:rsidR="00475A98">
              <w:t>N</w:t>
            </w:r>
            <w:r w:rsidR="00475A98" w:rsidRPr="00475A98">
              <w:t>evertheless</w:t>
            </w:r>
            <w:r w:rsidR="00475A98">
              <w:t xml:space="preserve">, </w:t>
            </w:r>
            <w:r w:rsidR="002300AC">
              <w:t>nurses</w:t>
            </w:r>
            <w:r w:rsidR="00475A98">
              <w:t xml:space="preserve"> rarely invest</w:t>
            </w:r>
            <w:r w:rsidR="002300AC">
              <w:t xml:space="preserve"> </w:t>
            </w:r>
            <w:r w:rsidR="00475A98">
              <w:t>in themselves to increase their c</w:t>
            </w:r>
            <w:r w:rsidR="00607C35">
              <w:t>ompetence</w:t>
            </w:r>
            <w:r w:rsidR="00EA60F6">
              <w:t xml:space="preserve">. </w:t>
            </w:r>
            <w:r w:rsidR="00475A98">
              <w:t>If the trend of physically weak professionals</w:t>
            </w:r>
            <w:r w:rsidR="00607C35">
              <w:t xml:space="preserve"> in the field</w:t>
            </w:r>
            <w:r w:rsidR="00475A98">
              <w:t xml:space="preserve"> continues, the h</w:t>
            </w:r>
            <w:r w:rsidR="00EA60F6">
              <w:t xml:space="preserve">ealthcare system may </w:t>
            </w:r>
            <w:r w:rsidR="00607C35">
              <w:t>be forced</w:t>
            </w:r>
            <w:r w:rsidR="00EA60F6">
              <w:t xml:space="preserve"> to shift to more automated/machine-oriented care to reduce human error and reduce the need for physical strength.</w:t>
            </w:r>
            <w:r w:rsidR="008039DD">
              <w:t xml:space="preserve"> </w:t>
            </w:r>
          </w:p>
          <w:p w14:paraId="0E27B00A" w14:textId="63430A86" w:rsidR="001F304A" w:rsidRPr="00327B84" w:rsidRDefault="002300AC" w:rsidP="00694260">
            <w:pPr>
              <w:keepLines/>
              <w:suppressAutoHyphens/>
              <w:spacing w:after="20"/>
              <w:ind w:firstLine="739"/>
            </w:pPr>
            <w:r>
              <w:lastRenderedPageBreak/>
              <w:t xml:space="preserve">The </w:t>
            </w:r>
            <w:r w:rsidR="00607C35">
              <w:t>question</w:t>
            </w:r>
            <w:r w:rsidR="009C164D">
              <w:t xml:space="preserve"> </w:t>
            </w:r>
            <w:r>
              <w:t>of</w:t>
            </w:r>
            <w:r w:rsidR="009C164D">
              <w:t xml:space="preserve"> </w:t>
            </w:r>
            <w:r w:rsidR="00EA60F6">
              <w:t xml:space="preserve">what </w:t>
            </w:r>
            <w:r>
              <w:t>it means to be</w:t>
            </w:r>
            <w:r w:rsidR="00EA60F6">
              <w:t xml:space="preserve"> physical</w:t>
            </w:r>
            <w:r>
              <w:t>ly</w:t>
            </w:r>
            <w:r w:rsidR="00EA60F6">
              <w:t xml:space="preserve"> fit</w:t>
            </w:r>
            <w:r>
              <w:t xml:space="preserve"> </w:t>
            </w:r>
            <w:r>
              <w:t>remains unanswered</w:t>
            </w:r>
            <w:r>
              <w:t>.</w:t>
            </w:r>
            <w:r w:rsidR="00EA60F6">
              <w:t xml:space="preserve"> </w:t>
            </w:r>
            <w:r w:rsidR="006F6AA7">
              <w:t xml:space="preserve">Universal </w:t>
            </w:r>
            <w:r w:rsidR="009C164D">
              <w:t>m</w:t>
            </w:r>
            <w:r w:rsidR="00EA60F6">
              <w:t xml:space="preserve">easures for mental and psychological </w:t>
            </w:r>
            <w:r w:rsidR="009C164D">
              <w:t xml:space="preserve">health </w:t>
            </w:r>
            <w:r w:rsidR="006F6AA7">
              <w:t xml:space="preserve">exist, </w:t>
            </w:r>
            <w:r w:rsidR="009C164D">
              <w:t>such as the range of hours for proper sleep</w:t>
            </w:r>
            <w:r w:rsidR="006F6AA7">
              <w:t xml:space="preserve">. </w:t>
            </w:r>
            <w:r w:rsidR="006F6AA7" w:rsidRPr="00694260">
              <w:t>This works</w:t>
            </w:r>
            <w:r w:rsidR="009C164D" w:rsidRPr="00694260">
              <w:t xml:space="preserve"> </w:t>
            </w:r>
            <w:r w:rsidR="00EA60F6" w:rsidRPr="00694260">
              <w:t xml:space="preserve">because </w:t>
            </w:r>
            <w:r w:rsidR="00694260">
              <w:t xml:space="preserve">the </w:t>
            </w:r>
            <w:r w:rsidR="00651380">
              <w:t xml:space="preserve">proper amount of </w:t>
            </w:r>
            <w:r w:rsidR="00694260">
              <w:t>time is not dependant on any factors other than age</w:t>
            </w:r>
            <w:r w:rsidR="009C164D" w:rsidRPr="00694260">
              <w:t>.</w:t>
            </w:r>
            <w:r w:rsidR="00694260">
              <w:t xml:space="preserve"> Therefore, the same numbers </w:t>
            </w:r>
            <w:r w:rsidR="005247F7">
              <w:t>work</w:t>
            </w:r>
            <w:r w:rsidR="00694260">
              <w:t xml:space="preserve"> for a large group of individuals.</w:t>
            </w:r>
            <w:r w:rsidR="009C164D">
              <w:t xml:space="preserve"> On the other hand,</w:t>
            </w:r>
            <w:r w:rsidR="006F6AA7">
              <w:t xml:space="preserve"> establishing </w:t>
            </w:r>
            <w:r w:rsidR="006F6AA7">
              <w:t>a quantitative rubric for physical health</w:t>
            </w:r>
            <w:r w:rsidR="006F6AA7">
              <w:t xml:space="preserve"> is difficult because</w:t>
            </w:r>
            <w:r w:rsidR="009C164D">
              <w:t xml:space="preserve"> p</w:t>
            </w:r>
            <w:r w:rsidR="00EA60F6">
              <w:t xml:space="preserve">eople have </w:t>
            </w:r>
            <w:r w:rsidR="00607C35">
              <w:t xml:space="preserve">various </w:t>
            </w:r>
            <w:r w:rsidR="00EA60F6">
              <w:t>body shapes</w:t>
            </w:r>
            <w:r w:rsidR="009C164D">
              <w:t xml:space="preserve"> and genetic makeups</w:t>
            </w:r>
            <w:r w:rsidR="00651380">
              <w:t>.</w:t>
            </w:r>
            <w:r w:rsidR="006F6AA7">
              <w:t xml:space="preserve"> This results</w:t>
            </w:r>
            <w:r w:rsidR="00EA60F6">
              <w:t xml:space="preserve"> in physiological differences and </w:t>
            </w:r>
            <w:r w:rsidR="00607C35">
              <w:t xml:space="preserve">distinct </w:t>
            </w:r>
            <w:r w:rsidR="00EA60F6">
              <w:t>capabilities</w:t>
            </w:r>
            <w:r w:rsidR="009C164D">
              <w:t xml:space="preserve">. The mentioned </w:t>
            </w:r>
            <w:r w:rsidR="006F6AA7">
              <w:t>study</w:t>
            </w:r>
            <w:r w:rsidR="009C164D">
              <w:t xml:space="preserve"> compared its results to the </w:t>
            </w:r>
            <w:r w:rsidR="006F6AA7">
              <w:t>standard</w:t>
            </w:r>
            <w:r w:rsidR="009C164D">
              <w:t xml:space="preserve"> of the country to decide </w:t>
            </w:r>
            <w:r w:rsidR="006F6AA7">
              <w:t>if</w:t>
            </w:r>
            <w:r w:rsidR="009C164D">
              <w:t xml:space="preserve"> participants were healthy.</w:t>
            </w:r>
            <w:r w:rsidR="00607C35">
              <w:t xml:space="preserve"> For some countries and communities, no normal standard exists because the physical diversity is too vast. </w:t>
            </w:r>
          </w:p>
        </w:tc>
      </w:tr>
      <w:tr w:rsidR="001F304A" w:rsidRPr="00327B84" w14:paraId="5A167330" w14:textId="77777777" w:rsidTr="00475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7DA2" w14:textId="77777777" w:rsidR="001F304A" w:rsidRPr="00327B84" w:rsidRDefault="001F304A" w:rsidP="00694260">
            <w:pPr>
              <w:keepLines/>
              <w:suppressAutoHyphens/>
              <w:spacing w:after="20"/>
              <w:rPr>
                <w:b/>
              </w:rPr>
            </w:pPr>
            <w:r w:rsidRPr="00327B84">
              <w:rPr>
                <w:b/>
              </w:rPr>
              <w:lastRenderedPageBreak/>
              <w:t>Research &amp; Revision</w:t>
            </w:r>
            <w:r w:rsidR="00A439EA">
              <w:rPr>
                <w:b/>
              </w:rPr>
              <w:t xml:space="preserve"> (R)</w:t>
            </w:r>
            <w:r w:rsidRPr="00327B84">
              <w:rPr>
                <w:b/>
              </w:rPr>
              <w:t>:</w:t>
            </w:r>
          </w:p>
          <w:p w14:paraId="6A055699" w14:textId="72137251" w:rsidR="001F304A" w:rsidRPr="00156364" w:rsidRDefault="001F304A" w:rsidP="00694260">
            <w:pPr>
              <w:keepLines/>
              <w:suppressAutoHyphens/>
              <w:spacing w:after="20"/>
            </w:pPr>
          </w:p>
        </w:tc>
        <w:tc>
          <w:tcPr>
            <w:tcW w:w="12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59E7" w14:textId="741DEADF" w:rsidR="001F304A" w:rsidRPr="00327B84" w:rsidRDefault="00651380" w:rsidP="00694260">
            <w:pPr>
              <w:keepLines/>
              <w:suppressAutoHyphens/>
              <w:spacing w:after="20"/>
              <w:ind w:firstLine="720"/>
            </w:pPr>
            <w:r>
              <w:t>In summary, t</w:t>
            </w:r>
            <w:r w:rsidR="00207D4C">
              <w:t xml:space="preserve">he article stressed the importance of adequate physical </w:t>
            </w:r>
            <w:r w:rsidR="00207D4C">
              <w:t>fitness. I</w:t>
            </w:r>
            <w:r w:rsidR="00A77A7F">
              <w:t xml:space="preserve"> learned that </w:t>
            </w:r>
            <w:r w:rsidR="00207D4C">
              <w:t>achieving proper fitness is the student’s responsibility</w:t>
            </w:r>
            <w:r w:rsidR="00207D4C">
              <w:t xml:space="preserve"> </w:t>
            </w:r>
            <w:r w:rsidR="005247F7">
              <w:t>since</w:t>
            </w:r>
            <w:r w:rsidR="00A77A7F">
              <w:t xml:space="preserve"> nursing is a self-regulated profession.</w:t>
            </w:r>
            <w:r w:rsidR="00207D4C">
              <w:t xml:space="preserve"> Since</w:t>
            </w:r>
            <w:r w:rsidR="00A93DDF">
              <w:t xml:space="preserve"> the CNO and </w:t>
            </w:r>
            <w:r w:rsidR="00207D4C">
              <w:t xml:space="preserve">other </w:t>
            </w:r>
            <w:r w:rsidR="00A93DDF">
              <w:t>regulating bodies</w:t>
            </w:r>
            <w:r w:rsidR="00207D4C">
              <w:t xml:space="preserve"> have not explained precisely what fitness to practice entails</w:t>
            </w:r>
            <w:r w:rsidR="00A93DDF">
              <w:t xml:space="preserve">, students must use their own discretion. </w:t>
            </w:r>
            <w:r w:rsidR="00207D4C">
              <w:t>P</w:t>
            </w:r>
            <w:r w:rsidR="00A77A7F">
              <w:t>roper footing, weight transfer,</w:t>
            </w:r>
            <w:r w:rsidR="00207D4C">
              <w:t xml:space="preserve"> </w:t>
            </w:r>
            <w:r w:rsidR="00A77A7F">
              <w:t>nurse synchronization</w:t>
            </w:r>
            <w:r w:rsidR="00207D4C">
              <w:t>, and other techniques</w:t>
            </w:r>
            <w:r w:rsidR="00A77A7F">
              <w:t xml:space="preserve"> </w:t>
            </w:r>
            <w:r w:rsidR="00A93DDF">
              <w:t xml:space="preserve">will </w:t>
            </w:r>
            <w:r w:rsidR="00207D4C">
              <w:t>facilitate</w:t>
            </w:r>
            <w:r w:rsidR="00A93DDF">
              <w:t xml:space="preserve"> tasks </w:t>
            </w:r>
            <w:r w:rsidR="00207D4C">
              <w:t>for students</w:t>
            </w:r>
            <w:r w:rsidR="00207D4C">
              <w:t>, such as</w:t>
            </w:r>
            <w:r w:rsidR="00A93DDF">
              <w:t xml:space="preserve"> moving patients (Potter, 2019). Students must access clinical situations, </w:t>
            </w:r>
            <w:r w:rsidR="00A77A7F">
              <w:t xml:space="preserve">analyze where they may </w:t>
            </w:r>
            <w:r w:rsidR="00207D4C">
              <w:t xml:space="preserve">struggle to </w:t>
            </w:r>
            <w:r w:rsidR="00A77A7F">
              <w:t>provid</w:t>
            </w:r>
            <w:r w:rsidR="00207D4C">
              <w:t>e</w:t>
            </w:r>
            <w:r w:rsidR="00A77A7F">
              <w:t xml:space="preserve"> safe care</w:t>
            </w:r>
            <w:r w:rsidR="00A93DDF">
              <w:t xml:space="preserve">, and ensure they take the proper steps to </w:t>
            </w:r>
            <w:r w:rsidR="00207D4C">
              <w:t>complete the task safely</w:t>
            </w:r>
            <w:r w:rsidR="00A93DDF">
              <w:t xml:space="preserve">. </w:t>
            </w:r>
          </w:p>
        </w:tc>
      </w:tr>
      <w:tr w:rsidR="001F304A" w:rsidRPr="00327B84" w14:paraId="7A2DDBFF" w14:textId="77777777" w:rsidTr="00475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3102" w14:textId="77777777" w:rsidR="001F304A" w:rsidRPr="00327B84" w:rsidRDefault="001F304A" w:rsidP="00694260">
            <w:pPr>
              <w:keepLines/>
              <w:suppressAutoHyphens/>
              <w:spacing w:after="20"/>
              <w:rPr>
                <w:b/>
              </w:rPr>
            </w:pPr>
            <w:r w:rsidRPr="00327B84">
              <w:rPr>
                <w:b/>
              </w:rPr>
              <w:t>New Perspective</w:t>
            </w:r>
            <w:r w:rsidR="00A439EA">
              <w:rPr>
                <w:b/>
              </w:rPr>
              <w:t xml:space="preserve"> (N)</w:t>
            </w:r>
            <w:r>
              <w:rPr>
                <w:b/>
              </w:rPr>
              <w:t>:</w:t>
            </w:r>
          </w:p>
          <w:p w14:paraId="39B03576" w14:textId="6F15877B" w:rsidR="001F304A" w:rsidRPr="00C27267" w:rsidRDefault="001F304A" w:rsidP="00694260">
            <w:pPr>
              <w:keepLines/>
              <w:suppressAutoHyphens/>
              <w:spacing w:after="20"/>
              <w:rPr>
                <w:b/>
              </w:rPr>
            </w:pPr>
          </w:p>
        </w:tc>
        <w:tc>
          <w:tcPr>
            <w:tcW w:w="12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5B58" w14:textId="75AA4BDB" w:rsidR="001F304A" w:rsidRPr="00327B84" w:rsidRDefault="00634D7C" w:rsidP="00694260">
            <w:pPr>
              <w:keepLines/>
              <w:suppressAutoHyphens/>
              <w:spacing w:after="20"/>
              <w:ind w:firstLine="720"/>
            </w:pPr>
            <w:r>
              <w:t>The most immediate implementation I can make is to commence a consistent exercise routine including both strength and endurance</w:t>
            </w:r>
            <w:r w:rsidR="00207D4C">
              <w:t>-</w:t>
            </w:r>
            <w:r>
              <w:t>building activities. The overall goal is to maintain fitness to practice, which the CNO (2014) define</w:t>
            </w:r>
            <w:r w:rsidR="00207D4C">
              <w:t>s</w:t>
            </w:r>
            <w:r>
              <w:t xml:space="preserve"> as “the necessary physical or mental capacity to practise competently, safely and ethically</w:t>
            </w:r>
            <w:r w:rsidR="003F015D">
              <w:t>.</w:t>
            </w:r>
            <w:r>
              <w:t>”</w:t>
            </w:r>
            <w:r w:rsidR="00651380">
              <w:t xml:space="preserve"> (p. 12).</w:t>
            </w:r>
            <w:r>
              <w:t xml:space="preserve"> To cover the mental aspect, I will self-reflect</w:t>
            </w:r>
            <w:r w:rsidR="00694260">
              <w:t xml:space="preserve"> </w:t>
            </w:r>
            <w:r w:rsidR="00694260">
              <w:t>regularly</w:t>
            </w:r>
            <w:r>
              <w:t xml:space="preserve"> </w:t>
            </w:r>
            <w:r w:rsidR="00694260">
              <w:t>and</w:t>
            </w:r>
            <w:r>
              <w:t xml:space="preserve"> </w:t>
            </w:r>
            <w:r w:rsidR="00694260">
              <w:t>decide</w:t>
            </w:r>
            <w:r>
              <w:t xml:space="preserve"> </w:t>
            </w:r>
            <w:r w:rsidR="00694260">
              <w:t>if</w:t>
            </w:r>
            <w:r>
              <w:t xml:space="preserve"> I meet policy standards </w:t>
            </w:r>
            <w:r w:rsidR="003F015D">
              <w:t>by checking documents from C</w:t>
            </w:r>
            <w:bookmarkStart w:id="0" w:name="_GoBack"/>
            <w:bookmarkEnd w:id="0"/>
            <w:r w:rsidR="003F015D">
              <w:t>NO and other regulatory bodies.</w:t>
            </w:r>
            <w:r w:rsidR="00694260">
              <w:t xml:space="preserve"> CPEs will also guide me during my practice.</w:t>
            </w:r>
            <w:r w:rsidR="003F015D">
              <w:t xml:space="preserve"> With th</w:t>
            </w:r>
            <w:r w:rsidR="00694260">
              <w:t>e</w:t>
            </w:r>
            <w:r w:rsidR="003F015D">
              <w:t>se resources, I can create a plan for self-improvement</w:t>
            </w:r>
            <w:r>
              <w:t>.</w:t>
            </w:r>
          </w:p>
        </w:tc>
      </w:tr>
      <w:tr w:rsidR="001F304A" w:rsidRPr="00327B84" w14:paraId="2B2F6C69" w14:textId="77777777" w:rsidTr="00803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6BE4" w14:textId="77777777" w:rsidR="001F304A" w:rsidRPr="00327B84" w:rsidRDefault="001F304A" w:rsidP="00694260">
            <w:pPr>
              <w:keepLines/>
              <w:suppressAutoHyphens/>
              <w:spacing w:after="20"/>
              <w:rPr>
                <w:b/>
              </w:rPr>
            </w:pPr>
            <w:r w:rsidRPr="00327B84">
              <w:rPr>
                <w:b/>
              </w:rPr>
              <w:t xml:space="preserve">References:   </w:t>
            </w:r>
          </w:p>
          <w:p w14:paraId="49CD768C" w14:textId="7FC960E0" w:rsidR="001F304A" w:rsidRPr="00327B84" w:rsidRDefault="001F304A" w:rsidP="00694260">
            <w:pPr>
              <w:keepLines/>
              <w:suppressAutoHyphens/>
              <w:spacing w:after="20"/>
            </w:pPr>
            <w:r w:rsidRPr="00327B84">
              <w:rPr>
                <w:b/>
              </w:rPr>
              <w:t xml:space="preserve"> </w:t>
            </w:r>
          </w:p>
        </w:tc>
        <w:tc>
          <w:tcPr>
            <w:tcW w:w="12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1B04" w14:textId="77777777" w:rsidR="001F304A" w:rsidRPr="009527C6" w:rsidRDefault="00E416B7" w:rsidP="00694260">
            <w:pPr>
              <w:keepLines/>
              <w:suppressAutoHyphens/>
              <w:spacing w:after="20"/>
              <w:ind w:left="720" w:hanging="720"/>
            </w:pPr>
            <w:proofErr w:type="spellStart"/>
            <w:r>
              <w:t>Piyanee</w:t>
            </w:r>
            <w:proofErr w:type="spellEnd"/>
            <w:r>
              <w:t xml:space="preserve">, K., Hong-Gu, H. &amp; Ying, L. (2015). </w:t>
            </w:r>
            <w:r w:rsidRPr="00E416B7">
              <w:t>Physical fitness, health behaviour and health among nursing students: A descriptive correlational study.</w:t>
            </w:r>
            <w:r>
              <w:t xml:space="preserve"> </w:t>
            </w:r>
            <w:r w:rsidRPr="00E416B7">
              <w:rPr>
                <w:i/>
                <w:iCs/>
              </w:rPr>
              <w:t>Nurse Education Today</w:t>
            </w:r>
            <w:r>
              <w:rPr>
                <w:i/>
                <w:iCs/>
              </w:rPr>
              <w:t xml:space="preserve">, </w:t>
            </w:r>
            <w:r w:rsidRPr="009527C6">
              <w:t xml:space="preserve">35(12), 1199-1205. </w:t>
            </w:r>
            <w:proofErr w:type="gramStart"/>
            <w:r w:rsidRPr="009527C6">
              <w:t>doi:10.1016/j.nedt</w:t>
            </w:r>
            <w:proofErr w:type="gramEnd"/>
            <w:r w:rsidRPr="009527C6">
              <w:t>.2015.06.014</w:t>
            </w:r>
          </w:p>
          <w:p w14:paraId="52E928B8" w14:textId="0B33AD34" w:rsidR="009527C6" w:rsidRDefault="009527C6" w:rsidP="00694260">
            <w:pPr>
              <w:keepLines/>
              <w:suppressAutoHyphens/>
              <w:spacing w:after="20"/>
              <w:ind w:left="720" w:hanging="720"/>
            </w:pPr>
            <w:r>
              <w:t xml:space="preserve">College of Nurses of Ontario. (2014). </w:t>
            </w:r>
            <w:r w:rsidRPr="009527C6">
              <w:t>Entry-to-</w:t>
            </w:r>
            <w:r>
              <w:t>p</w:t>
            </w:r>
            <w:r w:rsidRPr="009527C6">
              <w:t xml:space="preserve">ractice </w:t>
            </w:r>
            <w:r>
              <w:t>c</w:t>
            </w:r>
            <w:r w:rsidRPr="009527C6">
              <w:t xml:space="preserve">ompetencies for </w:t>
            </w:r>
            <w:r>
              <w:t>r</w:t>
            </w:r>
            <w:r w:rsidRPr="009527C6">
              <w:t xml:space="preserve">egistered </w:t>
            </w:r>
            <w:r>
              <w:t>n</w:t>
            </w:r>
            <w:r w:rsidRPr="009527C6">
              <w:t>urses</w:t>
            </w:r>
            <w:r>
              <w:t xml:space="preserve"> </w:t>
            </w:r>
            <w:r w:rsidRPr="009527C6">
              <w:t>[PDF file].</w:t>
            </w:r>
            <w:r>
              <w:t xml:space="preserve"> Retrieved from </w:t>
            </w:r>
            <w:r w:rsidR="00A93DDF" w:rsidRPr="00A93DDF">
              <w:t>http://www.cno.org/globalassets/docs/reg/41037_entrytopracitic_final.pdf</w:t>
            </w:r>
          </w:p>
          <w:p w14:paraId="3DEEC669" w14:textId="6E8180EF" w:rsidR="00A93DDF" w:rsidRPr="00CD5632" w:rsidRDefault="00A23329" w:rsidP="00694260">
            <w:pPr>
              <w:spacing w:after="20"/>
              <w:ind w:left="720" w:hanging="720"/>
            </w:pPr>
            <w:r w:rsidRPr="00A23329">
              <w:t>Potter</w:t>
            </w:r>
            <w:r>
              <w:t>, P. (201</w:t>
            </w:r>
            <w:r w:rsidR="00CD5632">
              <w:t>9</w:t>
            </w:r>
            <w:r>
              <w:t>)</w:t>
            </w:r>
            <w:r w:rsidR="00CD5632">
              <w:t>.</w:t>
            </w:r>
            <w:r>
              <w:t xml:space="preserve"> </w:t>
            </w:r>
            <w:r w:rsidR="00CD5632" w:rsidRPr="00CD5632">
              <w:t>Performance checklist skill 45-1 moving and positioning patients in bed</w:t>
            </w:r>
            <w:r w:rsidR="00CD5632">
              <w:t xml:space="preserve"> </w:t>
            </w:r>
            <w:r w:rsidR="00CD5632" w:rsidRPr="00CD5632">
              <w:t>[PDF file]. Retrieved from</w:t>
            </w:r>
            <w:r w:rsidR="00CD5632">
              <w:t xml:space="preserve"> </w:t>
            </w:r>
            <w:r w:rsidR="00CD5632" w:rsidRPr="00CD5632">
              <w:t>https://blackboard.uwindsor.ca/bbcswebdav/pid-1066570-dt-content-rid-10454712_1/courses/NURS1511-MAIN-2019F/Moving%20and%20Posting%20in%20Bed.pdf</w:t>
            </w:r>
          </w:p>
        </w:tc>
      </w:tr>
    </w:tbl>
    <w:p w14:paraId="304E9DB3" w14:textId="73551EC3" w:rsidR="008039DD" w:rsidRPr="008039DD" w:rsidRDefault="008039DD" w:rsidP="008039DD">
      <w:pPr>
        <w:tabs>
          <w:tab w:val="left" w:pos="4500"/>
        </w:tabs>
      </w:pPr>
    </w:p>
    <w:sectPr w:rsidR="008039DD" w:rsidRPr="008039DD" w:rsidSect="00B638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EDDBA" w14:textId="77777777" w:rsidR="00F560FD" w:rsidRDefault="00F560FD" w:rsidP="00402ACC">
      <w:r>
        <w:separator/>
      </w:r>
    </w:p>
  </w:endnote>
  <w:endnote w:type="continuationSeparator" w:id="0">
    <w:p w14:paraId="711A45B0" w14:textId="77777777" w:rsidR="00F560FD" w:rsidRDefault="00F560FD" w:rsidP="0040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711E1" w14:textId="77777777" w:rsidR="00402ACC" w:rsidRDefault="00402ACC">
    <w:pPr>
      <w:pStyle w:val="Footer"/>
    </w:pPr>
    <w:r>
      <w:t xml:space="preserve">SCC-Windsor: </w:t>
    </w:r>
    <w:r w:rsidR="00337337">
      <w:t>201</w:t>
    </w:r>
    <w:r w:rsidR="003E7A88">
      <w:t>5</w:t>
    </w:r>
    <w:r w:rsidR="00337337">
      <w:t>_</w:t>
    </w:r>
    <w:r>
      <w:t xml:space="preserve">Bondy, </w:t>
    </w:r>
    <w:proofErr w:type="spellStart"/>
    <w:r>
      <w:t>Deshaies</w:t>
    </w:r>
    <w:proofErr w:type="spellEnd"/>
    <w:r>
      <w:t xml:space="preserve">, &amp; </w:t>
    </w:r>
    <w:proofErr w:type="spellStart"/>
    <w:r>
      <w:t>Serafimovski</w:t>
    </w:r>
    <w:proofErr w:type="spellEnd"/>
    <w:r>
      <w:t>; Revised 2018 (</w:t>
    </w:r>
    <w:r w:rsidRPr="00AE3489">
      <w:t>Adapted f</w:t>
    </w:r>
    <w:r>
      <w:t>rom the work of S. Baxter, 2009</w:t>
    </w:r>
    <w:r w:rsidRPr="00AE3489">
      <w:t>-2010</w:t>
    </w:r>
    <w:r>
      <w:t>)</w:t>
    </w:r>
  </w:p>
  <w:p w14:paraId="45FB0818" w14:textId="77777777" w:rsidR="00402ACC" w:rsidRDefault="00402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1A642" w14:textId="77777777" w:rsidR="00F560FD" w:rsidRDefault="00F560FD" w:rsidP="00402ACC">
      <w:r>
        <w:separator/>
      </w:r>
    </w:p>
  </w:footnote>
  <w:footnote w:type="continuationSeparator" w:id="0">
    <w:p w14:paraId="162F2FF1" w14:textId="77777777" w:rsidR="00F560FD" w:rsidRDefault="00F560FD" w:rsidP="00402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24095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C3099E" w14:textId="743F4538" w:rsidR="00634D7C" w:rsidRDefault="00693DCD" w:rsidP="00CD5632">
        <w:pPr>
          <w:pStyle w:val="Header"/>
        </w:pPr>
        <w:r>
          <w:t>PHYSICAL FITNESS OF NURSES</w:t>
        </w:r>
        <w:r w:rsidR="00773F70">
          <w:tab/>
        </w:r>
        <w:r w:rsidR="00773F70">
          <w:tab/>
        </w:r>
        <w:r w:rsidR="00773F70">
          <w:tab/>
        </w:r>
        <w:r w:rsidR="00773F70">
          <w:tab/>
        </w:r>
        <w:r w:rsidR="00773F70">
          <w:tab/>
        </w:r>
        <w:r w:rsidR="00773F70">
          <w:tab/>
          <w:t xml:space="preserve">          </w:t>
        </w:r>
        <w:r w:rsidR="00773F70">
          <w:fldChar w:fldCharType="begin"/>
        </w:r>
        <w:r w:rsidR="00773F70">
          <w:instrText xml:space="preserve"> PAGE   \* MERGEFORMAT </w:instrText>
        </w:r>
        <w:r w:rsidR="00773F70">
          <w:fldChar w:fldCharType="separate"/>
        </w:r>
        <w:r w:rsidR="00773F70">
          <w:rPr>
            <w:noProof/>
          </w:rPr>
          <w:t>1</w:t>
        </w:r>
        <w:r w:rsidR="00773F70"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6E779" w14:textId="654FDD1A" w:rsidR="00773F70" w:rsidRDefault="00773F70">
    <w:pPr>
      <w:pStyle w:val="Header"/>
    </w:pPr>
    <w:r>
      <w:t xml:space="preserve">Running </w:t>
    </w:r>
    <w:r w:rsidR="00693DCD">
      <w:t>h</w:t>
    </w:r>
    <w:r>
      <w:t xml:space="preserve">ead: </w:t>
    </w:r>
    <w:r w:rsidR="00693DCD">
      <w:t>PHYSICAL FITNESS OF NURSES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24D68"/>
    <w:multiLevelType w:val="hybridMultilevel"/>
    <w:tmpl w:val="34B4316E"/>
    <w:lvl w:ilvl="0" w:tplc="D4C2BF68">
      <w:start w:val="1"/>
      <w:numFmt w:val="bullet"/>
      <w:lvlText w:val="•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E780526"/>
    <w:multiLevelType w:val="hybridMultilevel"/>
    <w:tmpl w:val="0388BECC"/>
    <w:lvl w:ilvl="0" w:tplc="510CAE1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4A"/>
    <w:rsid w:val="00004068"/>
    <w:rsid w:val="0001109C"/>
    <w:rsid w:val="00076612"/>
    <w:rsid w:val="000956CF"/>
    <w:rsid w:val="00095DA7"/>
    <w:rsid w:val="000A75E4"/>
    <w:rsid w:val="000B784F"/>
    <w:rsid w:val="001F304A"/>
    <w:rsid w:val="00207D4C"/>
    <w:rsid w:val="002300AC"/>
    <w:rsid w:val="002D5253"/>
    <w:rsid w:val="002E032A"/>
    <w:rsid w:val="002E45E5"/>
    <w:rsid w:val="00316174"/>
    <w:rsid w:val="00337337"/>
    <w:rsid w:val="00395767"/>
    <w:rsid w:val="003E7A88"/>
    <w:rsid w:val="003F015D"/>
    <w:rsid w:val="00402ACC"/>
    <w:rsid w:val="00475A98"/>
    <w:rsid w:val="004B2416"/>
    <w:rsid w:val="004B4ED9"/>
    <w:rsid w:val="0050462A"/>
    <w:rsid w:val="00511806"/>
    <w:rsid w:val="00523C65"/>
    <w:rsid w:val="005247F7"/>
    <w:rsid w:val="005867C4"/>
    <w:rsid w:val="00607C35"/>
    <w:rsid w:val="00634D7C"/>
    <w:rsid w:val="00651380"/>
    <w:rsid w:val="00674164"/>
    <w:rsid w:val="00693DCD"/>
    <w:rsid w:val="00694260"/>
    <w:rsid w:val="006A39A2"/>
    <w:rsid w:val="006F6AA7"/>
    <w:rsid w:val="0070231A"/>
    <w:rsid w:val="00730A82"/>
    <w:rsid w:val="00743261"/>
    <w:rsid w:val="00773F70"/>
    <w:rsid w:val="007C3FDF"/>
    <w:rsid w:val="007D16DC"/>
    <w:rsid w:val="00803882"/>
    <w:rsid w:val="008039DD"/>
    <w:rsid w:val="00870A02"/>
    <w:rsid w:val="008A0BD9"/>
    <w:rsid w:val="008A20CA"/>
    <w:rsid w:val="00911353"/>
    <w:rsid w:val="0093180E"/>
    <w:rsid w:val="009370DC"/>
    <w:rsid w:val="009527C6"/>
    <w:rsid w:val="009C164D"/>
    <w:rsid w:val="009F4117"/>
    <w:rsid w:val="00A23329"/>
    <w:rsid w:val="00A439EA"/>
    <w:rsid w:val="00A77A7F"/>
    <w:rsid w:val="00A93DDF"/>
    <w:rsid w:val="00AA0253"/>
    <w:rsid w:val="00B26092"/>
    <w:rsid w:val="00B47771"/>
    <w:rsid w:val="00B638F8"/>
    <w:rsid w:val="00C27267"/>
    <w:rsid w:val="00C71CDA"/>
    <w:rsid w:val="00CD5632"/>
    <w:rsid w:val="00CE4504"/>
    <w:rsid w:val="00CE7DC4"/>
    <w:rsid w:val="00D341B6"/>
    <w:rsid w:val="00DB0B95"/>
    <w:rsid w:val="00E05018"/>
    <w:rsid w:val="00E416B7"/>
    <w:rsid w:val="00E633B2"/>
    <w:rsid w:val="00E85B8F"/>
    <w:rsid w:val="00E977C9"/>
    <w:rsid w:val="00EA60F6"/>
    <w:rsid w:val="00EB0A8B"/>
    <w:rsid w:val="00EF1F80"/>
    <w:rsid w:val="00F44ABB"/>
    <w:rsid w:val="00F560FD"/>
    <w:rsid w:val="00F62C7C"/>
    <w:rsid w:val="00F728F4"/>
    <w:rsid w:val="00F947CC"/>
    <w:rsid w:val="00FF10C0"/>
    <w:rsid w:val="6B41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E1AC7"/>
  <w15:docId w15:val="{8AF46ADA-FAE5-469D-8897-AB9D1790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F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97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7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7C9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7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7C9"/>
    <w:rPr>
      <w:rFonts w:ascii="Segoe UI" w:eastAsia="Times New Roman" w:hAnsi="Segoe UI" w:cs="Segoe UI"/>
      <w:sz w:val="18"/>
      <w:szCs w:val="18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402A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ACC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402A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ACC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9527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7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7A7F"/>
    <w:pPr>
      <w:ind w:left="720"/>
      <w:contextualSpacing/>
    </w:pPr>
  </w:style>
  <w:style w:type="table" w:styleId="TableGrid">
    <w:name w:val="Table Grid"/>
    <w:basedOn w:val="TableNormal"/>
    <w:uiPriority w:val="59"/>
    <w:rsid w:val="00773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5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1B2794F6C07479160DCC4F9CBDA1D" ma:contentTypeVersion="11" ma:contentTypeDescription="Create a new document." ma:contentTypeScope="" ma:versionID="fb4d40b9f26a14ecc4bbb1b5d7599bf7">
  <xsd:schema xmlns:xsd="http://www.w3.org/2001/XMLSchema" xmlns:xs="http://www.w3.org/2001/XMLSchema" xmlns:p="http://schemas.microsoft.com/office/2006/metadata/properties" xmlns:ns3="c4d4cad0-508c-4314-859c-adae8c6a67bf" xmlns:ns4="3ee6600a-d91d-4333-86e7-e2551b234f5d" targetNamespace="http://schemas.microsoft.com/office/2006/metadata/properties" ma:root="true" ma:fieldsID="05bd06e23932345c2fada27f9bb78996" ns3:_="" ns4:_="">
    <xsd:import namespace="c4d4cad0-508c-4314-859c-adae8c6a67bf"/>
    <xsd:import namespace="3ee6600a-d91d-4333-86e7-e2551b234f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4cad0-508c-4314-859c-adae8c6a67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6600a-d91d-4333-86e7-e2551b234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6106A4-B333-4ECC-8188-70C302B47B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317199-28C6-4C46-87C3-32297010F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718F5-BA4D-4593-A673-33F448ABF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4cad0-508c-4314-859c-adae8c6a67bf"/>
    <ds:schemaRef ds:uri="3ee6600a-d91d-4333-86e7-e2551b234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2292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Clair College</Company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 Client Services</dc:creator>
  <cp:lastModifiedBy>Rima B</cp:lastModifiedBy>
  <cp:revision>13</cp:revision>
  <dcterms:created xsi:type="dcterms:W3CDTF">2019-10-24T17:07:00Z</dcterms:created>
  <dcterms:modified xsi:type="dcterms:W3CDTF">2019-10-28T22:51:00Z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0x0101007DF1B2794F6C07479160DCC4F9CBDA1D</vt:lpwstr>
  </property>
</Properties>
</file>